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DE" w:rsidRPr="00C242DE" w:rsidRDefault="00C242DE" w:rsidP="00C242DE">
      <w:pPr>
        <w:shd w:val="clear" w:color="auto" w:fill="FFFFFF"/>
        <w:spacing w:after="0" w:line="300" w:lineRule="atLeast"/>
        <w:jc w:val="center"/>
        <w:outlineLvl w:val="0"/>
        <w:rPr>
          <w:rFonts w:ascii="PT Astra Serif" w:eastAsia="Times New Roman" w:hAnsi="PT Astra Serif" w:cs="Arial"/>
          <w:b/>
          <w:color w:val="050624"/>
          <w:kern w:val="36"/>
          <w:sz w:val="28"/>
          <w:szCs w:val="28"/>
          <w:lang w:eastAsia="ru-RU"/>
        </w:rPr>
      </w:pPr>
      <w:bookmarkStart w:id="0" w:name="_GoBack"/>
      <w:r w:rsidRPr="00C242DE">
        <w:rPr>
          <w:rFonts w:ascii="PT Astra Serif" w:eastAsia="Times New Roman" w:hAnsi="PT Astra Serif" w:cs="Arial"/>
          <w:b/>
          <w:color w:val="050624"/>
          <w:kern w:val="36"/>
          <w:sz w:val="28"/>
          <w:szCs w:val="28"/>
          <w:lang w:eastAsia="ru-RU"/>
        </w:rPr>
        <w:t>Порядок участия получателей поддержки в проце</w:t>
      </w:r>
      <w:r w:rsidR="00DC030E">
        <w:rPr>
          <w:rFonts w:ascii="PT Astra Serif" w:eastAsia="Times New Roman" w:hAnsi="PT Astra Serif" w:cs="Arial"/>
          <w:b/>
          <w:color w:val="050624"/>
          <w:kern w:val="36"/>
          <w:sz w:val="28"/>
          <w:szCs w:val="28"/>
          <w:lang w:eastAsia="ru-RU"/>
        </w:rPr>
        <w:t>дурах предоставления имущества</w:t>
      </w:r>
    </w:p>
    <w:bookmarkEnd w:id="0"/>
    <w:p w:rsidR="00C242DE" w:rsidRPr="00C242DE" w:rsidRDefault="00C242DE" w:rsidP="00C242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</w:pP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t>Имущественная поддержка субъектов малого и среднего предпринимательства осуществляется органами государственной власти, органами местного самоуправления в виде передачи государственного или муниципального имущества во владение и (или) в пользование на долгосрочной основе (в том числе на льготных условиях).</w:t>
      </w: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br/>
        <w:t>К 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 иное имущество.</w:t>
      </w: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br/>
        <w:t>Способы предоставления: на возмездной основе; на безвозмездной основе; на льготных условиях.</w:t>
      </w: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br/>
        <w:t>В целях оказания имущественной поддержки субъектам малого и 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 муниципального имущества, свободного от прав третьих лиц (за исключением имущественных прав субъектов МСП), в том числе закрепленного за государственными и муниципальными предприятиями и учреждениями, предусмотренные частью 4 статьи 18 Федерального закона от 24.07.2007 № 209-ФЗ «О развитии малого и среднего предпринимательства в Российской Федерации».</w:t>
      </w: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br/>
        <w:t>Законодательством предусмотрены условия преимущественного права выкупа арендуемого субъектами малого и среднего предпринимательства государственного и муниципального имущества, как включенного в перечни имущества, так и не включенного в перечни.</w:t>
      </w: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br/>
        <w:t>Положения Федерального закона от 24.07.2007 № 209-ФЗ «О развитии малого и среднего предпринимательства в Российской Федерации», касающиеся оказания поддержки, предусмотренной указ</w:t>
      </w:r>
      <w:r w:rsidR="00DB5BFF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t>а</w:t>
      </w:r>
      <w:r w:rsidRPr="00C242DE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t xml:space="preserve">нным Федеральным законом, физическим лицам, применяющим специальный налоговый режим, применяются в течение срока проведения эксперимента, установленного Федеральным законом от 27 ноября 2018 года N 422-ФЗ «О проведении эксперимента по установлению специального налогового режима «Налог на профессиональный доход». </w:t>
      </w:r>
      <w:r w:rsidRPr="00DB5BFF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t>Эксперимент проводится до 31 декабря 2028 года включительно.</w:t>
      </w:r>
      <w:r w:rsidRPr="00DB5BFF">
        <w:rPr>
          <w:rFonts w:ascii="PT Astra Serif" w:eastAsia="Times New Roman" w:hAnsi="PT Astra Serif" w:cs="Arial"/>
          <w:color w:val="050624"/>
          <w:sz w:val="28"/>
          <w:szCs w:val="28"/>
          <w:lang w:eastAsia="ru-RU"/>
        </w:rPr>
        <w:br/>
      </w:r>
    </w:p>
    <w:p w:rsidR="007E6D00" w:rsidRDefault="007E6D00"/>
    <w:sectPr w:rsidR="007E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EB"/>
    <w:rsid w:val="000E7EEB"/>
    <w:rsid w:val="007E6D00"/>
    <w:rsid w:val="00C242DE"/>
    <w:rsid w:val="00DB5BFF"/>
    <w:rsid w:val="00D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1F313-301D-4868-9712-4EB1D80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4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4</cp:revision>
  <dcterms:created xsi:type="dcterms:W3CDTF">2024-12-17T08:55:00Z</dcterms:created>
  <dcterms:modified xsi:type="dcterms:W3CDTF">2024-12-20T04:34:00Z</dcterms:modified>
</cp:coreProperties>
</file>