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7F8" w:rsidRDefault="009407F8" w:rsidP="009407F8">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Приложение № 1</w:t>
      </w:r>
    </w:p>
    <w:p w:rsidR="009407F8" w:rsidRDefault="009407F8" w:rsidP="009407F8">
      <w:pPr>
        <w:spacing w:after="0" w:line="240" w:lineRule="auto"/>
        <w:contextualSpacing/>
        <w:jc w:val="center"/>
        <w:rPr>
          <w:rFonts w:ascii="Times New Roman" w:hAnsi="Times New Roman" w:cs="Times New Roman"/>
          <w:sz w:val="16"/>
          <w:szCs w:val="16"/>
        </w:rPr>
      </w:pPr>
    </w:p>
    <w:tbl>
      <w:tblPr>
        <w:tblStyle w:val="1"/>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969"/>
      </w:tblGrid>
      <w:tr w:rsidR="009407F8" w:rsidTr="009407F8">
        <w:tc>
          <w:tcPr>
            <w:tcW w:w="5524" w:type="dxa"/>
          </w:tcPr>
          <w:p w:rsidR="009407F8" w:rsidRDefault="009407F8">
            <w:pPr>
              <w:spacing w:after="0" w:line="240" w:lineRule="auto"/>
              <w:contextualSpacing/>
              <w:jc w:val="right"/>
              <w:rPr>
                <w:rFonts w:ascii="Times New Roman" w:eastAsiaTheme="minorEastAsia" w:hAnsi="Times New Roman" w:cs="Times New Roman"/>
                <w:sz w:val="28"/>
                <w:szCs w:val="28"/>
              </w:rPr>
            </w:pPr>
          </w:p>
          <w:p w:rsidR="009407F8" w:rsidRDefault="009407F8">
            <w:pPr>
              <w:spacing w:after="0" w:line="240" w:lineRule="auto"/>
              <w:contextualSpacing/>
              <w:jc w:val="right"/>
              <w:rPr>
                <w:rFonts w:ascii="Times New Roman" w:eastAsiaTheme="minorEastAsia" w:hAnsi="Times New Roman" w:cs="Times New Roman"/>
                <w:sz w:val="28"/>
                <w:szCs w:val="28"/>
              </w:rPr>
            </w:pPr>
          </w:p>
        </w:tc>
        <w:tc>
          <w:tcPr>
            <w:tcW w:w="3969" w:type="dxa"/>
            <w:hideMark/>
          </w:tcPr>
          <w:p w:rsidR="009407F8" w:rsidRDefault="009407F8">
            <w:pPr>
              <w:spacing w:after="0" w:line="240" w:lineRule="auto"/>
              <w:ind w:left="182"/>
              <w:contextualSpacing/>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Утверждено </w:t>
            </w:r>
          </w:p>
          <w:p w:rsidR="009407F8" w:rsidRDefault="009407F8">
            <w:pPr>
              <w:spacing w:after="0" w:line="240" w:lineRule="auto"/>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Постановлением  </w:t>
            </w:r>
          </w:p>
          <w:p w:rsidR="009407F8" w:rsidRDefault="009407F8">
            <w:pPr>
              <w:autoSpaceDE w:val="0"/>
              <w:autoSpaceDN w:val="0"/>
              <w:adjustRightInd w:val="0"/>
              <w:spacing w:after="0" w:line="240" w:lineRule="auto"/>
              <w:ind w:left="182"/>
              <w:contextualSpacing/>
              <w:rPr>
                <w:rFonts w:ascii="Times New Roman" w:eastAsiaTheme="minorEastAsia" w:hAnsi="Times New Roman" w:cs="Times New Roman"/>
                <w:i/>
                <w:sz w:val="28"/>
                <w:szCs w:val="28"/>
              </w:rPr>
            </w:pPr>
            <w:r>
              <w:rPr>
                <w:rFonts w:ascii="Times New Roman" w:eastAsiaTheme="minorEastAsia" w:hAnsi="Times New Roman" w:cs="Times New Roman"/>
                <w:sz w:val="28"/>
                <w:szCs w:val="28"/>
              </w:rPr>
              <w:t xml:space="preserve"> от 23.04 2019 г. № 161</w:t>
            </w:r>
            <w:bookmarkStart w:id="0" w:name="_GoBack"/>
            <w:bookmarkEnd w:id="0"/>
          </w:p>
        </w:tc>
      </w:tr>
    </w:tbl>
    <w:p w:rsidR="009407F8" w:rsidRDefault="009407F8" w:rsidP="009407F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407F8" w:rsidRDefault="009407F8" w:rsidP="009407F8">
      <w:pPr>
        <w:spacing w:line="240" w:lineRule="auto"/>
        <w:rPr>
          <w:rFonts w:ascii="Times New Roman" w:hAnsi="Times New Roman" w:cs="Times New Roman"/>
          <w:sz w:val="28"/>
          <w:szCs w:val="28"/>
        </w:rPr>
      </w:pPr>
    </w:p>
    <w:p w:rsidR="009407F8" w:rsidRDefault="009407F8" w:rsidP="009407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ФОРМИРОВАНИЯ, ВЕДЕНИЯ,</w:t>
      </w:r>
    </w:p>
    <w:p w:rsidR="009407F8" w:rsidRDefault="009407F8" w:rsidP="009407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ЕЖЕГОДНОГО ДОПОЛНЕНИЯ И ОПУБЛИКОВАНИЯ</w:t>
      </w:r>
    </w:p>
    <w:p w:rsidR="009407F8" w:rsidRDefault="009407F8" w:rsidP="009407F8">
      <w:pPr>
        <w:spacing w:after="0" w:line="240" w:lineRule="auto"/>
        <w:jc w:val="center"/>
        <w:rPr>
          <w:rFonts w:ascii="Times New Roman" w:hAnsi="Times New Roman" w:cs="Times New Roman"/>
          <w:sz w:val="16"/>
          <w:szCs w:val="16"/>
        </w:rPr>
      </w:pPr>
      <w:proofErr w:type="gramStart"/>
      <w:r>
        <w:rPr>
          <w:rFonts w:ascii="Times New Roman" w:hAnsi="Times New Roman" w:cs="Times New Roman"/>
          <w:b/>
          <w:bCs/>
          <w:sz w:val="28"/>
          <w:szCs w:val="28"/>
        </w:rPr>
        <w:t xml:space="preserve">ПЕРЕЧНЯ </w:t>
      </w:r>
      <w:r>
        <w:rPr>
          <w:rFonts w:ascii="Times New Roman" w:hAnsi="Times New Roman" w:cs="Times New Roman"/>
          <w:sz w:val="28"/>
          <w:szCs w:val="28"/>
        </w:rPr>
        <w:t>МУНИЦИПАЛЬНОГО</w:t>
      </w:r>
      <w:r>
        <w:rPr>
          <w:rFonts w:ascii="Times New Roman" w:hAnsi="Times New Roman" w:cs="Times New Roman"/>
          <w:b/>
          <w:bCs/>
          <w:i/>
          <w:sz w:val="28"/>
          <w:szCs w:val="28"/>
        </w:rPr>
        <w:t>)</w:t>
      </w:r>
      <w:r>
        <w:rPr>
          <w:rFonts w:ascii="Times New Roman" w:hAnsi="Times New Roman" w:cs="Times New Roman"/>
          <w:b/>
          <w:bCs/>
          <w:sz w:val="28"/>
          <w:szCs w:val="28"/>
        </w:rPr>
        <w:t xml:space="preserve"> ИМУЩЕСТВА МУНИЦИПАЛЬНОГО ОБРАЗОВАНИЯ КЛЮЧЕВСКИЙ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407F8" w:rsidRDefault="009407F8" w:rsidP="009407F8">
      <w:pPr>
        <w:autoSpaceDE w:val="0"/>
        <w:autoSpaceDN w:val="0"/>
        <w:adjustRightInd w:val="0"/>
        <w:spacing w:after="0" w:line="240" w:lineRule="auto"/>
        <w:jc w:val="center"/>
        <w:outlineLvl w:val="0"/>
        <w:rPr>
          <w:rFonts w:ascii="Times New Roman" w:hAnsi="Times New Roman" w:cs="Times New Roman"/>
          <w:sz w:val="28"/>
          <w:szCs w:val="28"/>
        </w:rPr>
      </w:pPr>
    </w:p>
    <w:p w:rsidR="009407F8" w:rsidRDefault="009407F8" w:rsidP="009407F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9407F8" w:rsidRDefault="009407F8" w:rsidP="009407F8">
      <w:pPr>
        <w:autoSpaceDE w:val="0"/>
        <w:autoSpaceDN w:val="0"/>
        <w:adjustRightInd w:val="0"/>
        <w:spacing w:after="0" w:line="240" w:lineRule="auto"/>
        <w:jc w:val="both"/>
        <w:rPr>
          <w:rFonts w:ascii="Times New Roman" w:hAnsi="Times New Roman" w:cs="Times New Roman"/>
          <w:sz w:val="16"/>
          <w:szCs w:val="16"/>
        </w:rPr>
      </w:pPr>
    </w:p>
    <w:p w:rsidR="009407F8" w:rsidRDefault="009407F8" w:rsidP="009407F8">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Ключевский район,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w:t>
      </w:r>
      <w:proofErr w:type="gramEnd"/>
      <w:r>
        <w:rPr>
          <w:rFonts w:ascii="Times New Roman" w:hAnsi="Times New Roman" w:cs="Times New Roman"/>
          <w:sz w:val="28"/>
          <w:szCs w:val="28"/>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9407F8" w:rsidRDefault="009407F8" w:rsidP="009407F8">
      <w:pPr>
        <w:autoSpaceDE w:val="0"/>
        <w:autoSpaceDN w:val="0"/>
        <w:adjustRightInd w:val="0"/>
        <w:spacing w:after="0" w:line="240" w:lineRule="auto"/>
        <w:ind w:firstLine="540"/>
        <w:jc w:val="both"/>
        <w:rPr>
          <w:rFonts w:ascii="Times New Roman" w:hAnsi="Times New Roman" w:cs="Times New Roman"/>
          <w:sz w:val="16"/>
          <w:szCs w:val="16"/>
        </w:rPr>
      </w:pPr>
    </w:p>
    <w:p w:rsidR="009407F8" w:rsidRDefault="009407F8" w:rsidP="009407F8">
      <w:pPr>
        <w:autoSpaceDE w:val="0"/>
        <w:autoSpaceDN w:val="0"/>
        <w:adjustRightInd w:val="0"/>
        <w:spacing w:after="0" w:line="240" w:lineRule="auto"/>
        <w:contextualSpacing/>
        <w:jc w:val="center"/>
        <w:outlineLvl w:val="0"/>
        <w:rPr>
          <w:rFonts w:ascii="Times New Roman" w:hAnsi="Times New Roman" w:cs="Times New Roman"/>
          <w:sz w:val="28"/>
          <w:szCs w:val="28"/>
        </w:rPr>
      </w:pPr>
      <w:r>
        <w:rPr>
          <w:rFonts w:ascii="Times New Roman" w:hAnsi="Times New Roman" w:cs="Times New Roman"/>
          <w:sz w:val="28"/>
          <w:szCs w:val="28"/>
        </w:rPr>
        <w:t xml:space="preserve">2. Цели создания и основные принципы формирования, </w:t>
      </w:r>
      <w:r>
        <w:rPr>
          <w:rFonts w:ascii="Times New Roman" w:hAnsi="Times New Roman" w:cs="Times New Roman"/>
          <w:sz w:val="28"/>
          <w:szCs w:val="28"/>
        </w:rPr>
        <w:br/>
        <w:t>ведения, ежегодного дополнения и опубликования Перечня</w:t>
      </w:r>
    </w:p>
    <w:p w:rsidR="009407F8" w:rsidRDefault="009407F8" w:rsidP="009407F8">
      <w:pPr>
        <w:autoSpaceDE w:val="0"/>
        <w:autoSpaceDN w:val="0"/>
        <w:adjustRightInd w:val="0"/>
        <w:spacing w:after="0" w:line="240" w:lineRule="auto"/>
        <w:jc w:val="both"/>
        <w:rPr>
          <w:rFonts w:ascii="Times New Roman" w:hAnsi="Times New Roman" w:cs="Times New Roman"/>
          <w:sz w:val="16"/>
          <w:szCs w:val="16"/>
        </w:rPr>
      </w:pPr>
    </w:p>
    <w:p w:rsidR="009407F8" w:rsidRDefault="009407F8" w:rsidP="009407F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Перечне содержатся сведения  о муниципальном имуществе муниципального образования Ключевский район, свободном от прав третьих лиц (</w:t>
      </w:r>
      <w:r>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пользование на долгосрочной основе (в том числе по льготным ставкам арендной платы) субъектам малого и </w:t>
      </w:r>
      <w:r>
        <w:rPr>
          <w:rFonts w:ascii="Times New Roman" w:hAnsi="Times New Roman" w:cs="Times New Roman"/>
          <w:sz w:val="28"/>
          <w:szCs w:val="28"/>
        </w:rPr>
        <w:lastRenderedPageBreak/>
        <w:t>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Pr>
          <w:rFonts w:ascii="Times New Roman" w:hAnsi="Times New Roman" w:cs="Times New Roman"/>
          <w:sz w:val="28"/>
          <w:szCs w:val="28"/>
        </w:rPr>
        <w:t xml:space="preserve">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Формирование Перечня осуществляется в целях:</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Предоставления имущества, принадлежащего на праве собственности  муниципальному образованию Ключевский район во владение и (или) пользование на долгосрочной основе (в том числе </w:t>
      </w:r>
      <w:proofErr w:type="spellStart"/>
      <w:r>
        <w:rPr>
          <w:rFonts w:ascii="Times New Roman" w:hAnsi="Times New Roman" w:cs="Times New Roman"/>
          <w:sz w:val="28"/>
          <w:szCs w:val="28"/>
        </w:rPr>
        <w:t>возмездно</w:t>
      </w:r>
      <w:proofErr w:type="spellEnd"/>
      <w:r>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 Реализации полномочий муниципального образования Ключевский район</w:t>
      </w:r>
      <w:r>
        <w:rPr>
          <w:rFonts w:ascii="Times New Roman" w:hAnsi="Times New Roman" w:cs="Times New Roman"/>
          <w:sz w:val="24"/>
          <w:szCs w:val="28"/>
        </w:rPr>
        <w:t xml:space="preserve"> </w:t>
      </w:r>
      <w:r>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9407F8" w:rsidRDefault="009407F8" w:rsidP="009407F8">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2.2.4. Повышения эффективности управления  муниципальным</w:t>
      </w:r>
      <w:r>
        <w:rPr>
          <w:rFonts w:ascii="Times New Roman" w:hAnsi="Times New Roman" w:cs="Times New Roman"/>
          <w:i/>
          <w:sz w:val="28"/>
          <w:szCs w:val="28"/>
        </w:rPr>
        <w:t xml:space="preserve"> </w:t>
      </w:r>
      <w:r>
        <w:rPr>
          <w:rFonts w:ascii="Times New Roman" w:hAnsi="Times New Roman" w:cs="Times New Roman"/>
          <w:sz w:val="28"/>
          <w:szCs w:val="28"/>
        </w:rPr>
        <w:t xml:space="preserve">имуществом, находящимся в собственности  муниципального образования Ключевский район, стимулирования развития малого и среднего предпринимательства на территории  муниципального образования Ключевский район. </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Формирование и ведение Перечня основывается на следующих основных принципах:</w:t>
      </w:r>
    </w:p>
    <w:p w:rsidR="009407F8" w:rsidRDefault="009407F8" w:rsidP="009407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9407F8" w:rsidRDefault="009407F8" w:rsidP="009407F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2.3.2. </w:t>
      </w:r>
      <w:proofErr w:type="gramStart"/>
      <w:r>
        <w:rPr>
          <w:rFonts w:ascii="Times New Roman" w:hAnsi="Times New Roman" w:cs="Times New Roman"/>
          <w:sz w:val="28"/>
          <w:szCs w:val="28"/>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муниципальном образовании Ключевский район  по обеспечению взаимодействия исполнительных органов власти Алтайского края с территориальным органом </w:t>
      </w:r>
      <w:proofErr w:type="spellStart"/>
      <w:r>
        <w:rPr>
          <w:rFonts w:ascii="Times New Roman" w:hAnsi="Times New Roman" w:cs="Times New Roman"/>
          <w:sz w:val="28"/>
          <w:szCs w:val="28"/>
        </w:rPr>
        <w:t>Росимущества</w:t>
      </w:r>
      <w:proofErr w:type="spellEnd"/>
      <w:r>
        <w:rPr>
          <w:rFonts w:ascii="Times New Roman" w:hAnsi="Times New Roman" w:cs="Times New Roman"/>
          <w:sz w:val="28"/>
          <w:szCs w:val="28"/>
        </w:rPr>
        <w:t xml:space="preserve"> в Алтайском крае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9407F8" w:rsidRDefault="009407F8" w:rsidP="009407F8">
      <w:pPr>
        <w:spacing w:line="240" w:lineRule="auto"/>
        <w:ind w:firstLine="567"/>
        <w:jc w:val="both"/>
        <w:rPr>
          <w:rFonts w:ascii="Times New Roman" w:hAnsi="Times New Roman" w:cs="Times New Roman"/>
          <w:sz w:val="16"/>
          <w:szCs w:val="16"/>
        </w:rPr>
      </w:pPr>
    </w:p>
    <w:p w:rsidR="009407F8" w:rsidRDefault="009407F8" w:rsidP="009407F8">
      <w:pPr>
        <w:jc w:val="center"/>
        <w:rPr>
          <w:rFonts w:ascii="Times New Roman" w:hAnsi="Times New Roman" w:cs="Times New Roman"/>
          <w:sz w:val="28"/>
          <w:szCs w:val="28"/>
        </w:rPr>
      </w:pPr>
      <w:r>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9407F8" w:rsidRDefault="009407F8" w:rsidP="009407F8">
      <w:pPr>
        <w:autoSpaceDE w:val="0"/>
        <w:autoSpaceDN w:val="0"/>
        <w:adjustRightInd w:val="0"/>
        <w:spacing w:after="0" w:line="240" w:lineRule="auto"/>
        <w:ind w:firstLine="709"/>
        <w:jc w:val="both"/>
        <w:rPr>
          <w:rFonts w:ascii="Times New Roman" w:hAnsi="Times New Roman" w:cs="Times New Roman"/>
          <w:i/>
          <w:sz w:val="28"/>
          <w:szCs w:val="28"/>
        </w:rPr>
      </w:pPr>
      <w:bookmarkStart w:id="1" w:name="Par18"/>
      <w:bookmarkEnd w:id="1"/>
      <w:r>
        <w:rPr>
          <w:rFonts w:ascii="Times New Roman" w:hAnsi="Times New Roman" w:cs="Times New Roman"/>
          <w:sz w:val="28"/>
          <w:szCs w:val="28"/>
        </w:rPr>
        <w:t>3.1. Перечень, изменения и ежегодное дополнение в него утверждаются постановлением администрации района.</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Формирование и ведение Перечня осуществляется Управлением по экономическому развитию и имущественным отношениям администрации района (далее – уполномоченный орган)</w:t>
      </w:r>
      <w:r>
        <w:rPr>
          <w:rFonts w:ascii="Times New Roman" w:hAnsi="Times New Roman" w:cs="Times New Roman"/>
          <w:i/>
          <w:sz w:val="28"/>
          <w:szCs w:val="28"/>
          <w:vertAlign w:val="superscript"/>
        </w:rPr>
        <w:footnoteReference w:id="1"/>
      </w:r>
      <w:r>
        <w:rPr>
          <w:rFonts w:ascii="Times New Roman" w:hAnsi="Times New Roman" w:cs="Times New Roman"/>
          <w:i/>
          <w:sz w:val="28"/>
          <w:szCs w:val="28"/>
        </w:rPr>
        <w:t xml:space="preserve"> </w:t>
      </w:r>
      <w:r>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9407F8" w:rsidRDefault="009407F8" w:rsidP="009407F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 В Перечень вносятся сведения об имуществе, соответствующем следующим критериям:</w:t>
      </w:r>
    </w:p>
    <w:p w:rsidR="009407F8" w:rsidRDefault="009407F8" w:rsidP="009407F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3.3.1. Имущество свободно от прав третьих лиц </w:t>
      </w:r>
      <w:r>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ascii="Times New Roman" w:hAnsi="Times New Roman" w:cs="Times New Roman"/>
          <w:sz w:val="28"/>
          <w:szCs w:val="28"/>
        </w:rPr>
        <w:t>;</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3.3.3. Имущество не является объектом религиозного назначения;</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9407F8" w:rsidRDefault="009407F8" w:rsidP="009407F8">
      <w:pPr>
        <w:autoSpaceDE w:val="0"/>
        <w:autoSpaceDN w:val="0"/>
        <w:adjustRightInd w:val="0"/>
        <w:spacing w:before="280" w:after="0" w:line="240" w:lineRule="auto"/>
        <w:contextualSpacing/>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3.3.5. </w:t>
      </w:r>
      <w:proofErr w:type="gramStart"/>
      <w:r>
        <w:rPr>
          <w:rFonts w:ascii="Times New Roman" w:hAnsi="Times New Roman" w:cs="Times New Roman"/>
          <w:sz w:val="28"/>
          <w:szCs w:val="28"/>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Ключевский район,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3.3.6. Имущество не признано аварийным и подлежащим сносу;</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Pr>
          <w:rFonts w:ascii="Times New Roman" w:hAnsi="Times New Roman" w:cs="Times New Roman"/>
          <w:sz w:val="28"/>
          <w:szCs w:val="28"/>
          <w:vertAlign w:val="superscript"/>
        </w:rPr>
        <w:t>11</w:t>
      </w:r>
      <w:r>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3.3.10. </w:t>
      </w:r>
      <w:proofErr w:type="gramStart"/>
      <w:r>
        <w:rPr>
          <w:rFonts w:ascii="Times New Roman" w:hAnsi="Times New Roman" w:cs="Times New Roman"/>
          <w:sz w:val="28"/>
          <w:szCs w:val="28"/>
        </w:rPr>
        <w:t xml:space="preserve">В отношении имущества, закрепленного за  муниципальным унитарным предприятием, муниципальным учреждением, владеющим им </w:t>
      </w:r>
      <w:r>
        <w:rPr>
          <w:rFonts w:ascii="Times New Roman" w:hAnsi="Times New Roman" w:cs="Times New Roman"/>
          <w:sz w:val="28"/>
          <w:szCs w:val="28"/>
        </w:rPr>
        <w:lastRenderedPageBreak/>
        <w:t>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w:t>
      </w:r>
      <w:proofErr w:type="gramEnd"/>
      <w:r>
        <w:rPr>
          <w:rFonts w:ascii="Times New Roman" w:hAnsi="Times New Roman" w:cs="Times New Roman"/>
          <w:sz w:val="28"/>
          <w:szCs w:val="28"/>
        </w:rPr>
        <w:t xml:space="preserve"> и среднего предпринимательства и организациям, образующим инфраструктуру поддержки;</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3.3.11. </w:t>
      </w:r>
      <w:proofErr w:type="gramStart"/>
      <w:r>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 Сведения об имуществе группируются в Перечне по муниципальным образованиям муниципального образования Ключевский район,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района</w:t>
      </w:r>
      <w:r>
        <w:rPr>
          <w:rFonts w:ascii="Times New Roman" w:hAnsi="Times New Roman" w:cs="Times New Roman"/>
          <w:i/>
          <w:sz w:val="28"/>
          <w:szCs w:val="28"/>
        </w:rPr>
        <w:t xml:space="preserve"> </w:t>
      </w:r>
      <w:r>
        <w:rPr>
          <w:rFonts w:ascii="Times New Roman" w:hAnsi="Times New Roman" w:cs="Times New Roman"/>
          <w:sz w:val="28"/>
          <w:szCs w:val="28"/>
        </w:rPr>
        <w:t>по его инициативе или на основании предложений исполнительных органов государственной власти (органов местного самоуправления) муниципального образования Ключевский район</w:t>
      </w:r>
      <w:r>
        <w:rPr>
          <w:rFonts w:ascii="Times New Roman" w:hAnsi="Times New Roman" w:cs="Times New Roman"/>
          <w:i/>
          <w:sz w:val="28"/>
          <w:szCs w:val="28"/>
        </w:rPr>
        <w:t>,</w:t>
      </w:r>
      <w:r>
        <w:rPr>
          <w:rFonts w:ascii="Times New Roman" w:hAnsi="Times New Roman" w:cs="Times New Roman"/>
          <w:sz w:val="28"/>
          <w:szCs w:val="28"/>
        </w:rPr>
        <w:t xml:space="preserve"> коллегиального органа в  муниципальном </w:t>
      </w:r>
      <w:proofErr w:type="spellStart"/>
      <w:r>
        <w:rPr>
          <w:rFonts w:ascii="Times New Roman" w:hAnsi="Times New Roman" w:cs="Times New Roman"/>
          <w:sz w:val="28"/>
          <w:szCs w:val="28"/>
        </w:rPr>
        <w:t>образовангии</w:t>
      </w:r>
      <w:proofErr w:type="spellEnd"/>
      <w:r>
        <w:rPr>
          <w:rFonts w:ascii="Times New Roman" w:hAnsi="Times New Roman" w:cs="Times New Roman"/>
          <w:sz w:val="28"/>
          <w:szCs w:val="28"/>
        </w:rPr>
        <w:t xml:space="preserve"> Ключевский район, по обеспечению взаимодействия исполнительных органов власти муниципального образования Ключевский район с</w:t>
      </w:r>
      <w:proofErr w:type="gramEnd"/>
      <w:r>
        <w:rPr>
          <w:rFonts w:ascii="Times New Roman" w:hAnsi="Times New Roman" w:cs="Times New Roman"/>
          <w:sz w:val="28"/>
          <w:szCs w:val="28"/>
        </w:rPr>
        <w:t xml:space="preserve"> территориальным органом </w:t>
      </w:r>
      <w:proofErr w:type="spellStart"/>
      <w:r>
        <w:rPr>
          <w:rFonts w:ascii="Times New Roman" w:hAnsi="Times New Roman" w:cs="Times New Roman"/>
          <w:sz w:val="28"/>
          <w:szCs w:val="28"/>
        </w:rPr>
        <w:t>Росимущества</w:t>
      </w:r>
      <w:proofErr w:type="spellEnd"/>
      <w:r>
        <w:rPr>
          <w:rFonts w:ascii="Times New Roman" w:hAnsi="Times New Roman" w:cs="Times New Roman"/>
          <w:sz w:val="28"/>
          <w:szCs w:val="28"/>
        </w:rPr>
        <w:t xml:space="preserve"> в Алтайском крае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Pr>
          <w:rFonts w:ascii="Times New Roman" w:hAnsi="Times New Roman" w:cs="Times New Roman"/>
          <w:sz w:val="28"/>
          <w:szCs w:val="28"/>
        </w:rPr>
        <w:t>с даты внесения</w:t>
      </w:r>
      <w:proofErr w:type="gramEnd"/>
      <w:r>
        <w:rPr>
          <w:rFonts w:ascii="Times New Roman" w:hAnsi="Times New Roman" w:cs="Times New Roman"/>
          <w:sz w:val="28"/>
          <w:szCs w:val="28"/>
        </w:rPr>
        <w:t xml:space="preserve"> соответствующих изменений в реестр  муниципального имущества муниципального образования Ключевский район.</w:t>
      </w:r>
    </w:p>
    <w:p w:rsidR="009407F8" w:rsidRDefault="009407F8" w:rsidP="009407F8">
      <w:pPr>
        <w:spacing w:after="0"/>
        <w:ind w:firstLine="709"/>
        <w:jc w:val="both"/>
        <w:rPr>
          <w:rFonts w:ascii="Times New Roman" w:hAnsi="Times New Roman" w:cs="Times New Roman"/>
          <w:sz w:val="26"/>
          <w:szCs w:val="26"/>
        </w:rPr>
      </w:pPr>
      <w:r>
        <w:rPr>
          <w:rFonts w:ascii="Times New Roman" w:hAnsi="Times New Roman" w:cs="Times New Roman"/>
          <w:sz w:val="28"/>
          <w:szCs w:val="28"/>
        </w:rPr>
        <w:t xml:space="preserve">3.7. Рассмотрение уполномоченным органом предложений, поступивших от лиц, указанных в пункте 3.6 настоящего Порядка, </w:t>
      </w:r>
      <w:r>
        <w:rPr>
          <w:rFonts w:ascii="Times New Roman" w:hAnsi="Times New Roman" w:cs="Times New Roman"/>
          <w:sz w:val="28"/>
          <w:szCs w:val="28"/>
        </w:rPr>
        <w:lastRenderedPageBreak/>
        <w:t>осуществляется в течение 30 календарных дней</w:t>
      </w:r>
      <w:r>
        <w:rPr>
          <w:rFonts w:ascii="Times New Roman" w:hAnsi="Times New Roman" w:cs="Times New Roman"/>
          <w:sz w:val="28"/>
          <w:szCs w:val="28"/>
          <w:vertAlign w:val="superscript"/>
        </w:rPr>
        <w:footnoteReference w:id="2"/>
      </w:r>
      <w:r>
        <w:rPr>
          <w:rFonts w:ascii="Times New Roman" w:hAnsi="Times New Roman" w:cs="Times New Roman"/>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3" w:name="Par5"/>
      <w:bookmarkEnd w:id="3"/>
      <w:r>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4" w:name="Par6"/>
      <w:bookmarkEnd w:id="4"/>
      <w:r>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9407F8" w:rsidRDefault="009407F8" w:rsidP="009407F8">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уполномоченного на согласование сделок с имуществом балансодержателя.</w:t>
      </w:r>
      <w:r>
        <w:rPr>
          <w:rFonts w:ascii="Times New Roman" w:hAnsi="Times New Roman" w:cs="Times New Roman"/>
          <w:i/>
          <w:sz w:val="28"/>
          <w:szCs w:val="28"/>
        </w:rPr>
        <w:t xml:space="preserve"> </w:t>
      </w:r>
    </w:p>
    <w:p w:rsidR="009407F8" w:rsidRDefault="009407F8" w:rsidP="009407F8">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3.8.3. Отсутствуют индивидуально-определенные признаки</w:t>
      </w:r>
      <w:r>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9407F8" w:rsidRDefault="009407F8" w:rsidP="009407F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 Уполномоченный орган вправе исключить сведения о  муниципальном имуществе  муниципального образования Ключевский район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Pr>
            <w:rStyle w:val="a6"/>
            <w:rFonts w:ascii="Times New Roman" w:hAnsi="Times New Roman" w:cs="Times New Roman"/>
            <w:sz w:val="28"/>
            <w:szCs w:val="28"/>
          </w:rPr>
          <w:t>законом</w:t>
        </w:r>
      </w:hyperlink>
      <w:r>
        <w:rPr>
          <w:rFonts w:ascii="Times New Roman" w:hAnsi="Times New Roman" w:cs="Times New Roman"/>
          <w:sz w:val="28"/>
          <w:szCs w:val="28"/>
        </w:rPr>
        <w:t xml:space="preserve"> от 26.07.2006 № 135-ФЗ «О защите конкуренции»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Земельным кодексом Российской Федерации.</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 Сведения о  муниципальном имуществе  муниципального образования Ключевский район подлежат исключению из Перечня, в следующих случаях:</w:t>
      </w:r>
    </w:p>
    <w:p w:rsidR="009407F8" w:rsidRDefault="009407F8" w:rsidP="009407F8">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Pr>
          <w:rFonts w:ascii="Times New Roman" w:hAnsi="Times New Roman" w:cs="Times New Roman"/>
          <w:sz w:val="28"/>
          <w:szCs w:val="28"/>
        </w:rPr>
        <w:lastRenderedPageBreak/>
        <w:t>муниципальных  нужд  муниципального образования Ключевский район.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3.10.2. Право собственности  муниципального образования Ключевский район на имущество прекращено по решению суда или в ином установленном законом порядке;</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3.10.3. Прекращение существования имущества в результате его гибели или уничтожения;</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3.10.5. </w:t>
      </w:r>
      <w:proofErr w:type="gramStart"/>
      <w:r>
        <w:rPr>
          <w:rFonts w:ascii="Times New Roman" w:hAnsi="Times New Roman" w:cs="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Pr>
          <w:rFonts w:ascii="Times New Roman" w:hAnsi="Times New Roman" w:cs="Times New Roman"/>
          <w:sz w:val="28"/>
          <w:szCs w:val="28"/>
        </w:rPr>
        <w:t xml:space="preserve"> 39</w:t>
      </w:r>
      <w:r>
        <w:rPr>
          <w:rFonts w:ascii="Times New Roman" w:hAnsi="Times New Roman" w:cs="Times New Roman"/>
          <w:sz w:val="28"/>
          <w:szCs w:val="28"/>
          <w:vertAlign w:val="superscript"/>
        </w:rPr>
        <w:t>3</w:t>
      </w:r>
      <w:r>
        <w:rPr>
          <w:rFonts w:ascii="Times New Roman" w:hAnsi="Times New Roman" w:cs="Times New Roman"/>
          <w:sz w:val="28"/>
          <w:szCs w:val="28"/>
        </w:rPr>
        <w:t xml:space="preserve"> Земельного кодекса Российской Федерации.</w:t>
      </w:r>
    </w:p>
    <w:p w:rsidR="009407F8" w:rsidRDefault="009407F8" w:rsidP="009407F8">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9407F8" w:rsidRDefault="009407F8" w:rsidP="009407F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Уполномоченный орган уведомляет арендатора о намерении принять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9407F8" w:rsidRDefault="009407F8" w:rsidP="009407F8">
      <w:pPr>
        <w:autoSpaceDE w:val="0"/>
        <w:autoSpaceDN w:val="0"/>
        <w:adjustRightInd w:val="0"/>
        <w:spacing w:after="0" w:line="240" w:lineRule="auto"/>
        <w:jc w:val="center"/>
        <w:rPr>
          <w:rFonts w:ascii="Times New Roman" w:hAnsi="Times New Roman" w:cs="Times New Roman"/>
          <w:sz w:val="28"/>
          <w:szCs w:val="28"/>
        </w:rPr>
      </w:pPr>
    </w:p>
    <w:p w:rsidR="009407F8" w:rsidRDefault="009407F8" w:rsidP="009407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9407F8" w:rsidRDefault="009407F8" w:rsidP="009407F8">
      <w:pPr>
        <w:autoSpaceDE w:val="0"/>
        <w:autoSpaceDN w:val="0"/>
        <w:adjustRightInd w:val="0"/>
        <w:spacing w:after="0" w:line="240" w:lineRule="auto"/>
        <w:ind w:firstLine="540"/>
        <w:jc w:val="both"/>
        <w:rPr>
          <w:rFonts w:ascii="Times New Roman" w:hAnsi="Times New Roman" w:cs="Times New Roman"/>
          <w:sz w:val="16"/>
          <w:szCs w:val="16"/>
        </w:rPr>
      </w:pPr>
    </w:p>
    <w:p w:rsidR="009407F8" w:rsidRDefault="009407F8" w:rsidP="009407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Уполномоченный орган:</w:t>
      </w:r>
    </w:p>
    <w:p w:rsidR="009407F8" w:rsidRDefault="009407F8" w:rsidP="009407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постановлению.</w:t>
      </w:r>
    </w:p>
    <w:p w:rsidR="009407F8" w:rsidRDefault="009407F8" w:rsidP="009407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9407F8" w:rsidRDefault="009407F8" w:rsidP="009407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4.1.3. </w:t>
      </w:r>
      <w:proofErr w:type="gramStart"/>
      <w:r>
        <w:rPr>
          <w:rFonts w:ascii="Times New Roman" w:hAnsi="Times New Roman" w:cs="Times New Roman"/>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Pr>
          <w:rFonts w:ascii="Times New Roman" w:hAnsi="Times New Roman" w:cs="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96B21" w:rsidRDefault="00696B21"/>
    <w:sectPr w:rsidR="00696B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5F" w:rsidRDefault="00655D5F" w:rsidP="009407F8">
      <w:pPr>
        <w:spacing w:after="0" w:line="240" w:lineRule="auto"/>
      </w:pPr>
      <w:r>
        <w:separator/>
      </w:r>
    </w:p>
  </w:endnote>
  <w:endnote w:type="continuationSeparator" w:id="0">
    <w:p w:rsidR="00655D5F" w:rsidRDefault="00655D5F" w:rsidP="009407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5F" w:rsidRDefault="00655D5F" w:rsidP="009407F8">
      <w:pPr>
        <w:spacing w:after="0" w:line="240" w:lineRule="auto"/>
      </w:pPr>
      <w:r>
        <w:separator/>
      </w:r>
    </w:p>
  </w:footnote>
  <w:footnote w:type="continuationSeparator" w:id="0">
    <w:p w:rsidR="00655D5F" w:rsidRDefault="00655D5F" w:rsidP="009407F8">
      <w:pPr>
        <w:spacing w:after="0" w:line="240" w:lineRule="auto"/>
      </w:pPr>
      <w:r>
        <w:continuationSeparator/>
      </w:r>
    </w:p>
  </w:footnote>
  <w:footnote w:id="1">
    <w:p w:rsidR="009407F8" w:rsidRDefault="009407F8" w:rsidP="009407F8">
      <w:pPr>
        <w:pStyle w:val="a3"/>
        <w:jc w:val="both"/>
        <w:rPr>
          <w:rFonts w:ascii="Times New Roman" w:hAnsi="Times New Roman"/>
        </w:rPr>
      </w:pPr>
      <w:r>
        <w:rPr>
          <w:rStyle w:val="a5"/>
        </w:rPr>
        <w:t xml:space="preserve"> </w:t>
      </w:r>
    </w:p>
  </w:footnote>
  <w:footnote w:id="2">
    <w:p w:rsidR="009407F8" w:rsidRDefault="009407F8" w:rsidP="009407F8">
      <w:pPr>
        <w:pStyle w:val="a3"/>
        <w:jc w:val="both"/>
        <w:rPr>
          <w:rFonts w:ascii="Times New Roman" w:hAnsi="Times New Roman"/>
        </w:rPr>
      </w:pPr>
      <w:r>
        <w:rPr>
          <w:rStyle w:val="a5"/>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96B21"/>
    <w:rsid w:val="00655D5F"/>
    <w:rsid w:val="00696B21"/>
    <w:rsid w:val="009407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F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407F8"/>
    <w:pPr>
      <w:spacing w:after="0" w:line="240" w:lineRule="auto"/>
    </w:pPr>
    <w:rPr>
      <w:rFonts w:eastAsiaTheme="minorEastAsia" w:cs="Times New Roman"/>
      <w:sz w:val="20"/>
      <w:szCs w:val="20"/>
    </w:rPr>
  </w:style>
  <w:style w:type="character" w:customStyle="1" w:styleId="a4">
    <w:name w:val="Текст сноски Знак"/>
    <w:basedOn w:val="a0"/>
    <w:link w:val="a3"/>
    <w:uiPriority w:val="99"/>
    <w:semiHidden/>
    <w:rsid w:val="009407F8"/>
    <w:rPr>
      <w:rFonts w:eastAsiaTheme="minorEastAsia" w:cs="Times New Roman"/>
      <w:sz w:val="20"/>
      <w:szCs w:val="20"/>
    </w:rPr>
  </w:style>
  <w:style w:type="character" w:styleId="a5">
    <w:name w:val="footnote reference"/>
    <w:basedOn w:val="a0"/>
    <w:uiPriority w:val="99"/>
    <w:semiHidden/>
    <w:unhideWhenUsed/>
    <w:rsid w:val="009407F8"/>
    <w:rPr>
      <w:vertAlign w:val="superscript"/>
    </w:rPr>
  </w:style>
  <w:style w:type="table" w:customStyle="1" w:styleId="1">
    <w:name w:val="Сетка таблицы1"/>
    <w:basedOn w:val="a1"/>
    <w:uiPriority w:val="39"/>
    <w:rsid w:val="0094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9407F8"/>
    <w:rPr>
      <w:color w:val="0000FF"/>
      <w:u w:val="single"/>
    </w:rPr>
  </w:style>
</w:styles>
</file>

<file path=word/webSettings.xml><?xml version="1.0" encoding="utf-8"?>
<w:webSettings xmlns:r="http://schemas.openxmlformats.org/officeDocument/2006/relationships" xmlns:w="http://schemas.openxmlformats.org/wordprocessingml/2006/main">
  <w:divs>
    <w:div w:id="21209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2310</Words>
  <Characters>13173</Characters>
  <Application>Microsoft Office Word</Application>
  <DocSecurity>0</DocSecurity>
  <Lines>109</Lines>
  <Paragraphs>30</Paragraphs>
  <ScaleCrop>false</ScaleCrop>
  <Company/>
  <LinksUpToDate>false</LinksUpToDate>
  <CharactersWithSpaces>15453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dc:creator>
  <cp:keywords/>
  <dc:description/>
  <cp:lastModifiedBy>Business</cp:lastModifiedBy>
  <cp:revision>3</cp:revision>
  <dcterms:created xsi:type="dcterms:W3CDTF">2020-07-28T02:31:00Z</dcterms:created>
  <dcterms:modified xsi:type="dcterms:W3CDTF">2020-07-28T02:31:00Z</dcterms:modified>
</cp:coreProperties>
</file>