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91" w:rsidRDefault="008B7591" w:rsidP="00347D1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C032B" w:rsidRPr="00347D1D" w:rsidRDefault="00983580" w:rsidP="00347D1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proofErr w:type="spellStart"/>
      <w:r w:rsidRPr="00347D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Новополтавское</w:t>
      </w:r>
      <w:proofErr w:type="spellEnd"/>
      <w:r w:rsidRPr="00347D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сельское</w:t>
      </w:r>
      <w:r w:rsidR="00FC032B" w:rsidRPr="00347D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Собрание депутатов</w:t>
      </w:r>
    </w:p>
    <w:p w:rsidR="00FC032B" w:rsidRDefault="007C41DC" w:rsidP="00347D1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47D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Ключевского района </w:t>
      </w:r>
      <w:r w:rsidR="00FC032B" w:rsidRPr="00347D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Алтайского края</w:t>
      </w:r>
    </w:p>
    <w:p w:rsidR="003D4A8F" w:rsidRPr="003D4A8F" w:rsidRDefault="003D4A8F" w:rsidP="003D4A8F"/>
    <w:p w:rsidR="00FC032B" w:rsidRPr="003D4A8F" w:rsidRDefault="00347D1D" w:rsidP="00347D1D">
      <w:pPr>
        <w:spacing w:line="24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    </w:t>
      </w:r>
      <w:r w:rsidR="00F338E9">
        <w:rPr>
          <w:rFonts w:ascii="PT Astra Serif" w:hAnsi="PT Astra Serif"/>
          <w:color w:val="000000" w:themeColor="text1"/>
          <w:sz w:val="28"/>
          <w:szCs w:val="28"/>
        </w:rPr>
        <w:t xml:space="preserve">                  </w:t>
      </w:r>
      <w:r w:rsidR="00F338E9" w:rsidRPr="003D4A8F">
        <w:rPr>
          <w:rFonts w:ascii="PT Astra Serif" w:hAnsi="PT Astra Serif"/>
          <w:b/>
          <w:color w:val="000000" w:themeColor="text1"/>
          <w:sz w:val="28"/>
          <w:szCs w:val="28"/>
        </w:rPr>
        <w:t>двадцать первая</w:t>
      </w:r>
      <w:r w:rsidR="00FC032B" w:rsidRPr="003D4A8F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FC032B" w:rsidRPr="003D4A8F">
        <w:rPr>
          <w:rFonts w:ascii="PT Astra Serif" w:hAnsi="PT Astra Serif"/>
          <w:b/>
          <w:sz w:val="28"/>
          <w:szCs w:val="28"/>
        </w:rPr>
        <w:t>сессия восьмого созыва</w:t>
      </w:r>
    </w:p>
    <w:p w:rsidR="007C41DC" w:rsidRPr="007C41DC" w:rsidRDefault="007C41DC" w:rsidP="00E272E1">
      <w:pPr>
        <w:spacing w:line="240" w:lineRule="atLeast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FC032B" w:rsidRPr="007C41DC" w:rsidRDefault="00FC032B" w:rsidP="00FC032B">
      <w:pPr>
        <w:jc w:val="center"/>
        <w:rPr>
          <w:rFonts w:ascii="PT Astra Serif" w:hAnsi="PT Astra Serif"/>
          <w:b/>
          <w:sz w:val="32"/>
          <w:szCs w:val="32"/>
        </w:rPr>
      </w:pPr>
      <w:r w:rsidRPr="007C41DC">
        <w:rPr>
          <w:rFonts w:ascii="PT Astra Serif" w:hAnsi="PT Astra Serif"/>
          <w:b/>
          <w:sz w:val="32"/>
          <w:szCs w:val="32"/>
        </w:rPr>
        <w:t>Р Е Ш Е Н И Е</w:t>
      </w:r>
    </w:p>
    <w:p w:rsidR="00FC032B" w:rsidRDefault="003D4A8F" w:rsidP="00FC032B">
      <w:pPr>
        <w:jc w:val="center"/>
        <w:rPr>
          <w:rFonts w:ascii="PT Astra Serif" w:hAnsi="PT Astra Serif"/>
          <w:sz w:val="24"/>
          <w:szCs w:val="24"/>
        </w:rPr>
      </w:pPr>
      <w:r w:rsidRPr="003D4A8F">
        <w:rPr>
          <w:rFonts w:ascii="PT Astra Serif" w:hAnsi="PT Astra Serif"/>
          <w:sz w:val="28"/>
          <w:szCs w:val="28"/>
        </w:rPr>
        <w:t>25.12.2024</w:t>
      </w:r>
      <w:r w:rsidR="00FC032B" w:rsidRPr="003D4A8F"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  <w:r w:rsidR="00AF722A" w:rsidRPr="003D4A8F">
        <w:rPr>
          <w:rFonts w:ascii="PT Astra Serif" w:hAnsi="PT Astra Serif"/>
          <w:sz w:val="28"/>
          <w:szCs w:val="28"/>
        </w:rPr>
        <w:t xml:space="preserve">                         </w:t>
      </w:r>
      <w:r w:rsidR="007103F0" w:rsidRPr="003D4A8F">
        <w:rPr>
          <w:rFonts w:ascii="PT Astra Serif" w:hAnsi="PT Astra Serif"/>
          <w:sz w:val="28"/>
          <w:szCs w:val="28"/>
        </w:rPr>
        <w:t xml:space="preserve">           </w:t>
      </w:r>
      <w:r w:rsidR="00C11524">
        <w:rPr>
          <w:rFonts w:ascii="PT Astra Serif" w:hAnsi="PT Astra Serif"/>
          <w:sz w:val="28"/>
          <w:szCs w:val="28"/>
        </w:rPr>
        <w:t>№ 113</w:t>
      </w:r>
      <w:r w:rsidR="00FC032B" w:rsidRPr="003D4A8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 w:rsidR="007C41DC" w:rsidRPr="007C41DC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="007C41DC" w:rsidRPr="007C41DC">
        <w:rPr>
          <w:rFonts w:ascii="PT Astra Serif" w:hAnsi="PT Astra Serif"/>
          <w:sz w:val="24"/>
          <w:szCs w:val="24"/>
        </w:rPr>
        <w:t>Новополтава</w:t>
      </w:r>
      <w:proofErr w:type="spellEnd"/>
    </w:p>
    <w:p w:rsidR="007C41DC" w:rsidRPr="007C41DC" w:rsidRDefault="007C41DC" w:rsidP="00FC032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FC032B" w:rsidRPr="00481C18" w:rsidTr="00662CF4">
        <w:tc>
          <w:tcPr>
            <w:tcW w:w="4820" w:type="dxa"/>
          </w:tcPr>
          <w:p w:rsidR="00FC032B" w:rsidRDefault="00C46195" w:rsidP="00C46195">
            <w:pPr>
              <w:jc w:val="both"/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81C18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Об утверждении Положения о представительских расходах и иных расходах, связанных с представительской деятельностью органов местного самоуправления муниципального образования </w:t>
            </w:r>
            <w:r w:rsidR="00983580" w:rsidRPr="007C41DC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сельское поселение </w:t>
            </w:r>
            <w:proofErr w:type="spellStart"/>
            <w:r w:rsidR="00983580" w:rsidRPr="007C41DC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>Новополтавский</w:t>
            </w:r>
            <w:proofErr w:type="spellEnd"/>
            <w:r w:rsidR="00983580" w:rsidRPr="007C41DC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 Ключевского</w:t>
            </w:r>
            <w:r w:rsidRPr="007C41DC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</w:t>
            </w:r>
            <w:r w:rsidR="00983580" w:rsidRPr="007C41DC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7C41DC">
              <w:rPr>
                <w:rFonts w:ascii="PT Astra Serif" w:hAnsi="PT Astra Serif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 края</w:t>
            </w:r>
          </w:p>
          <w:p w:rsidR="007C41DC" w:rsidRPr="00481C18" w:rsidRDefault="007C41DC" w:rsidP="00C461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47D1D" w:rsidRDefault="00B62AA3" w:rsidP="000F0934">
      <w:pPr>
        <w:shd w:val="clear" w:color="auto" w:fill="FFFFFF"/>
        <w:spacing w:after="0" w:line="240" w:lineRule="auto"/>
        <w:ind w:firstLine="1066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В целях упорядочения </w:t>
      </w:r>
      <w:r w:rsidR="004008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представительских расходов и иных расходов, связанных с представительской деятельностью органов местного самоуправления муниципального образования </w:t>
      </w:r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proofErr w:type="spellStart"/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</w:t>
      </w:r>
      <w:r w:rsidR="004008E9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</w:t>
      </w:r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="004008E9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4008E9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</w:t>
      </w:r>
      <w:r w:rsidR="00203DD6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я,</w:t>
      </w:r>
      <w:r w:rsidR="00203DD6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со статьей 264</w:t>
      </w:r>
      <w:r w:rsidR="004008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Налогового кодекса Российской Федерации, 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="00983580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proofErr w:type="spellStart"/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4008E9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="004008E9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4008E9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="009B418D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</w:t>
      </w:r>
      <w:r w:rsidR="000F093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</w:t>
      </w:r>
      <w:r w:rsidR="009B418D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Собрание депутатов</w:t>
      </w:r>
    </w:p>
    <w:p w:rsidR="009B418D" w:rsidRDefault="00347D1D" w:rsidP="00347D1D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</w:t>
      </w:r>
      <w:r w:rsidR="009B418D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РЕШИЛО:</w:t>
      </w:r>
    </w:p>
    <w:p w:rsidR="007C41DC" w:rsidRPr="00481C18" w:rsidRDefault="007C41DC" w:rsidP="007C41DC">
      <w:pPr>
        <w:shd w:val="clear" w:color="auto" w:fill="FFFFFF"/>
        <w:spacing w:after="0" w:line="240" w:lineRule="auto"/>
        <w:ind w:firstLine="1066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9B418D" w:rsidRPr="007C41DC" w:rsidRDefault="007C41DC" w:rsidP="00347D1D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B56940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Утвердить Положение о представительских расходах и иных расходах, связанных с представительской деятельностью органов местного самоуправления муниципального образования </w:t>
      </w:r>
      <w:r w:rsidR="00983580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proofErr w:type="spellStart"/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="00B5694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98358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B56940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E272E1" w:rsidRPr="007C41DC" w:rsidRDefault="007C41DC" w:rsidP="00347D1D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E272E1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Настоящее решение опубликовать в установленном законом порядке.</w:t>
      </w:r>
    </w:p>
    <w:p w:rsidR="00E272E1" w:rsidRPr="007C41DC" w:rsidRDefault="007C41DC" w:rsidP="00347D1D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</w:t>
      </w:r>
      <w:r w:rsidR="00E272E1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Контроль за исполнением настоящего решения возложить на постоянную комиссию</w:t>
      </w:r>
      <w:r w:rsidR="00401C55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01C55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Новополтавского</w:t>
      </w:r>
      <w:proofErr w:type="spellEnd"/>
      <w:r w:rsidR="00401C55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сельского Собрания депутатов</w:t>
      </w:r>
      <w:r w:rsidR="00E272E1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347D1D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эконо</w:t>
      </w:r>
      <w:r w:rsidR="00F338E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мике и бюджету </w:t>
      </w:r>
      <w:proofErr w:type="gramStart"/>
      <w:r w:rsidR="00F338E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spellStart"/>
      <w:r w:rsidR="00F338E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Н.А.Титов</w:t>
      </w:r>
      <w:proofErr w:type="spellEnd"/>
      <w:proofErr w:type="gramEnd"/>
      <w:r w:rsidR="00E272E1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7C41DC" w:rsidRPr="007C41DC" w:rsidRDefault="007C41DC" w:rsidP="007C41DC">
      <w:pPr>
        <w:pStyle w:val="a6"/>
        <w:shd w:val="clear" w:color="auto" w:fill="FFFFFF"/>
        <w:spacing w:after="0" w:line="240" w:lineRule="auto"/>
        <w:ind w:left="0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C2929" w:rsidRPr="007C41DC" w:rsidRDefault="005C2929" w:rsidP="007C41DC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5C2929" w:rsidRPr="00481C18" w:rsidRDefault="00347D1D" w:rsidP="005C2929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Глава </w:t>
      </w:r>
      <w:r w:rsidR="00401C55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proofErr w:type="gramEnd"/>
      <w:r w:rsidR="00401C55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F338E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</w:t>
      </w:r>
      <w:proofErr w:type="spellStart"/>
      <w:r w:rsidR="00F338E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А.И.Великодный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401C55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            </w:t>
      </w:r>
    </w:p>
    <w:p w:rsidR="00280243" w:rsidRPr="00481C18" w:rsidRDefault="00280243" w:rsidP="005C2929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5C2929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0F0934" w:rsidRDefault="000F0934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7C41DC" w:rsidRDefault="00280243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401C55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рило</w:t>
      </w:r>
      <w:r w:rsidR="00486716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жение</w:t>
      </w:r>
    </w:p>
    <w:p w:rsidR="00280243" w:rsidRPr="00481C18" w:rsidRDefault="00486716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 решению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</w:t>
      </w:r>
      <w:r w:rsidR="00401C55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вополтавского</w:t>
      </w:r>
      <w:proofErr w:type="spellEnd"/>
    </w:p>
    <w:p w:rsidR="00280243" w:rsidRPr="00481C18" w:rsidRDefault="00280243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</w:t>
      </w:r>
      <w:r w:rsidR="00401C55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           сельского </w:t>
      </w:r>
      <w:r w:rsidR="005C292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Собрания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депутатов</w:t>
      </w:r>
    </w:p>
    <w:p w:rsidR="00280243" w:rsidRDefault="00AF722A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3D4A8F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25.12.2024 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C1152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113</w:t>
      </w:r>
    </w:p>
    <w:p w:rsidR="007C41DC" w:rsidRDefault="007C41DC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7C41DC" w:rsidRPr="00481C18" w:rsidRDefault="007C41DC" w:rsidP="00280243">
      <w:pPr>
        <w:shd w:val="clear" w:color="auto" w:fill="FFFFFF"/>
        <w:spacing w:after="0" w:line="240" w:lineRule="auto"/>
        <w:jc w:val="right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 и иных расходах, связанных с представительской деятельностью органов местного самоуправления муници</w:t>
      </w:r>
      <w:r w:rsidR="005C292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пального </w:t>
      </w:r>
      <w:r w:rsidR="005C2929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="00401C55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401C55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401C55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C2929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p w:rsidR="005C2929" w:rsidRPr="00481C18" w:rsidRDefault="005C2929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Настоящее Положение о представительских расходах и иных расходах, связанных с представительской деятельностью органов местного самоуправления муници</w:t>
      </w:r>
      <w:r w:rsidR="005C292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401C55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401C55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7C41D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(далее -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Положение) разработано в целях упорядочения использования средств бюджета муници</w:t>
      </w:r>
      <w:r w:rsidR="005C292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proofErr w:type="spellStart"/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C2929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на представительские расходы и иные расходы, связанные с представительской деятельностью органов местного самоуправления</w:t>
      </w:r>
      <w:r w:rsidR="00401C55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</w:t>
      </w:r>
      <w:r w:rsidR="005C2929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 предоставления отчетности по ним.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1. Настоящее Положение устанавливает порядок финансирования и использования средств бюджета муниципального образования</w:t>
      </w:r>
      <w:r w:rsidR="00401C55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proofErr w:type="spellStart"/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C2929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на представительские расходы и иные расходы, связанные с представительской деятельностью органов местного самоуправления   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</w:t>
      </w:r>
      <w:r w:rsidR="005C2929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C2929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края,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регламентирует отчетность использования указанных средств.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Расходование денежных средств на представительские расходы органов местного самоуправления муници</w:t>
      </w:r>
      <w:r w:rsidR="00FA25BF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пального </w:t>
      </w:r>
      <w:r w:rsidR="00FA25BF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FA25BF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производится в соответствии с порядком и нормами расходования средств на представительские рас</w:t>
      </w:r>
      <w:r w:rsidR="00FA25BF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ходы, осуществляемые </w:t>
      </w:r>
      <w:proofErr w:type="spellStart"/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Новополтавским</w:t>
      </w:r>
      <w:proofErr w:type="spellEnd"/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B4B71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сельским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A25BF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Собранием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депутатов, главой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Новополтавского</w:t>
      </w:r>
      <w:proofErr w:type="spellEnd"/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B4B71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A25BF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</w:t>
      </w:r>
      <w:r w:rsidR="00FA25BF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она, </w:t>
      </w:r>
      <w:r w:rsid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FA25BF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дминистрацией</w:t>
      </w:r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Новополтавского</w:t>
      </w:r>
      <w:proofErr w:type="spellEnd"/>
      <w:r w:rsidR="00401C55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B4B71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сельсовета.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 Основной целью осуществления таких расходов является обеспечение мероприятий по установлению сотрудничества органов местного самоуправления муници</w:t>
      </w:r>
      <w:r w:rsidR="005D3C1D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D8051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D80512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3B4B71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D3C1D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Ключевский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 Алтайского края с другими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организациями, муниципальными образованиями, регионами, представителями общественности, отдельными лицами, создание положительного имиджа, формирование взаимовыгодных отношений в интересах муници</w:t>
      </w:r>
      <w:r w:rsidR="005D3C1D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D80512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80512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proofErr w:type="spellStart"/>
      <w:r w:rsidR="00D80512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D80512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80512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сельсовет</w:t>
      </w:r>
      <w:r w:rsidR="005D3C1D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D80512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D80512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края,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чествование физических и юридических лиц.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 Представительские   расходы   -   это расходы   органов местного самоуправления муници</w:t>
      </w:r>
      <w:r w:rsidR="005D3C1D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885163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proofErr w:type="spellStart"/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D3C1D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края, связанные с проведением официальных приемов, обслуживанием официальных делегаций и отдельных лиц, организаций, участвующих в переговорах, совещаниях, конференциях с целью установления и (или) поддержания взаимовыгодного сотрудничества, а также участников, прибывших на официальные мероприятия органов мест</w:t>
      </w:r>
      <w:r w:rsidR="005D3C1D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ного самоуправления</w:t>
      </w:r>
      <w:r w:rsidR="00885163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сельского </w:t>
      </w:r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поселения </w:t>
      </w:r>
      <w:proofErr w:type="spellStart"/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D3C1D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края,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независимо от места проведения мероприятия. Сувенирная продукция – подарки, в том числе сувениры, печатная и полиграфическая продукция, включая поздравительные открытки, приглашения, буклеты и т.п.</w:t>
      </w:r>
    </w:p>
    <w:p w:rsidR="00280243" w:rsidRPr="00E42E51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4. Должностные лица, имеющие право от имени органов местного самоуправления муници</w:t>
      </w:r>
      <w:r w:rsidR="005D3C1D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D3C1D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</w:t>
      </w:r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вести официальные приемы и участвовать в торжественных и иных официальных мероприятиях:</w:t>
      </w:r>
    </w:p>
    <w:p w:rsidR="00280243" w:rsidRPr="00E42E51" w:rsidRDefault="005D3C1D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1) Глава</w:t>
      </w:r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8516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Новополтавского</w:t>
      </w:r>
      <w:proofErr w:type="spellEnd"/>
      <w:r w:rsidR="00750531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="0028024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района;</w:t>
      </w:r>
    </w:p>
    <w:p w:rsidR="00280243" w:rsidRPr="00E42E51" w:rsidRDefault="0088516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2)</w:t>
      </w:r>
      <w:r w:rsid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З</w:t>
      </w:r>
      <w:r w:rsidR="0028024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амес</w:t>
      </w:r>
      <w:r w:rsidR="00925BC6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титель председателя </w:t>
      </w:r>
      <w:proofErr w:type="spellStart"/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Новополтавского</w:t>
      </w:r>
      <w:proofErr w:type="spellEnd"/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сельского Собрания депутатов</w:t>
      </w:r>
      <w:r w:rsidR="0028024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280243" w:rsidRDefault="00E42E51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3) </w:t>
      </w:r>
      <w:r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</w:t>
      </w:r>
      <w:r w:rsidR="00925BC6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дминистрации</w:t>
      </w:r>
      <w:r w:rsidR="006164C8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164C8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Новополтавского</w:t>
      </w:r>
      <w:proofErr w:type="spellEnd"/>
      <w:r w:rsidR="00750531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925BC6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="006164C8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района, на которого</w:t>
      </w:r>
      <w:r w:rsidR="00280243" w:rsidRPr="00E42E5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возложена обязанность проведения мероприятий, связанных с представительскими расходами;</w:t>
      </w:r>
    </w:p>
    <w:p w:rsidR="005E5464" w:rsidRPr="00481C18" w:rsidRDefault="005E5464" w:rsidP="005E54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5. Официальные лица - лица, являющиеся представителями организаций, имеющие предоставленные организацией полномочия на участие в официальных мероприятиях и подписание официальных документов.</w:t>
      </w:r>
    </w:p>
    <w:p w:rsidR="00280243" w:rsidRDefault="005E5464" w:rsidP="002802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6. 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Средства на осуществление представительских расходов и иных расходов, связанных с представительской деятельностью, утверждаются 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решением</w:t>
      </w:r>
      <w:r w:rsidR="006164C8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164C8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Новополтавского</w:t>
      </w:r>
      <w:proofErr w:type="spellEnd"/>
      <w:r w:rsidR="006164C8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сельского Собрания депутатов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о </w:t>
      </w:r>
      <w:r w:rsidR="006164C8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сельском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бюджете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по соответствующему органу местного самоуправления </w:t>
      </w:r>
      <w:r w:rsidR="00F101FC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района. Финансовое обеспечение расходных обязательств, связанных с реализацией настоящего Положения, осуществляется из бюджета</w:t>
      </w:r>
      <w:r w:rsidR="00750531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6164C8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Новополтавского</w:t>
      </w:r>
      <w:proofErr w:type="spellEnd"/>
      <w:r w:rsidR="006164C8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50531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сельсовета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101FC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в пределах</w:t>
      </w:r>
      <w:r w:rsidR="006164C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предусмотренных средств в бюджете с учетом нормирования, установленного в данном Положении.</w:t>
      </w:r>
    </w:p>
    <w:p w:rsidR="005E5464" w:rsidRPr="00481C18" w:rsidRDefault="005E5464" w:rsidP="002802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2. НАПРАВЛЕНИЯ РАСХОДОВАНИЯ ДЕНЕЖНЫХ СРЕДСТВ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1A13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состав представительских расходов включаются: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 проведение официального приема (завтрака, обеда, ужина или иного аналогичного мероприят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ия) для лиц, указанных в пунктах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</w:t>
      </w:r>
      <w:hyperlink r:id="rId6" w:history="1">
        <w:r w:rsidRPr="00481C18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4</w:t>
        </w:r>
      </w:hyperlink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 5</w:t>
      </w:r>
      <w:r w:rsidR="001A13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раздела 1 настоящего Положения, а также должностных лиц органов местного самоуправления, участвующих в переговорах (совещаниях, конференциях);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 оплату гостиницы, питания, бронирование мест для лиц, указанных в 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пунктах</w:t>
      </w:r>
      <w:r w:rsidR="00983580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4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 5</w:t>
      </w:r>
      <w:r w:rsidR="00983580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раздела 1 настоящего Положения;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- расходы на буфетное обслуживание и фуршеты во время переговоров, совещаний, конференций, рабочих встреч, заседаний коллегиальных, совещательных органов, «круглых столов», форумов и иных мероприятий, залов заседаний и приемных, в том числе расходы на салфетки, скатерти,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напитки, посуду, продукты питания и/или расходы на сервировку и обслуживание;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 транспортное обеспечение доставки лиц, указанных в пунктах 4 и 5 раздела 1 настоящего Положения к месту проведения представительского мероприятия и обратно;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 культурное обслуживание;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расходы на приобретение памятных</w:t>
      </w:r>
      <w:r w:rsidR="00203DD6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 ценных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подарков, сувенирной продукции, цветов и цветочных композиций, связанные с вручением.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 Иные расходы, связанные с представительской деятельностью, - это расходы органов местного самоуправления муници</w:t>
      </w:r>
      <w:r w:rsidR="001A13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E546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proofErr w:type="spellStart"/>
      <w:r w:rsidR="005E546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5E546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5E546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связанные: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1) с участием представителей органов местного самоуправления муниципальн</w:t>
      </w:r>
      <w:r w:rsidR="001A13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ого образования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5E546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5E546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 торжественных праздничных мероприятиях, организованных органами местного самоуправления муници</w:t>
      </w:r>
      <w:r w:rsidR="001A13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5E546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5E546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5E546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края;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организованных органами местного самоуправления муниципального образования Ключевский район Алтайского края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2) с участием представителей органов местного самоуправления муници</w:t>
      </w:r>
      <w:r w:rsidR="001A13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в торжественных праздничных мероприятиях, организованных на территории муници</w:t>
      </w:r>
      <w:r w:rsidR="001A13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поселение </w:t>
      </w:r>
      <w:proofErr w:type="spellStart"/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края;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4F7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организованных на территории муниципального образования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Ключевский район Алтайского края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3) с участием представителей органов местного самоуправления муници</w:t>
      </w:r>
      <w:r w:rsidR="001A13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proofErr w:type="spellStart"/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края в торжественных праздничных мероприятиях, организованных иными субъектами на территории муници</w:t>
      </w:r>
      <w:r w:rsidR="001A13E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 Ключевский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 Алтайского края;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4) с участием представителей органов местного самоуправления муниципального образования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proofErr w:type="spellStart"/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в торжественных праздничных мероприятиях, организованных иными субъектами за пределами территории муниципального образования </w:t>
      </w:r>
      <w:r w:rsidR="00A00FE5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Ключевский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 Алтайского края;</w:t>
      </w:r>
    </w:p>
    <w:p w:rsidR="00280243" w:rsidRPr="00481C18" w:rsidRDefault="003174F7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5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проведением заседаний, конференций, семинаров, совещаний и других официальных мероприятий органов местного самоуправления 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proofErr w:type="spellStart"/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края;</w:t>
      </w:r>
    </w:p>
    <w:p w:rsidR="00280243" w:rsidRPr="00481C18" w:rsidRDefault="003174F7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6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проведением торжественных приемов, организованных в органах местного самоуправления 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proofErr w:type="spellStart"/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для: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а) ветеранов Великой Отечественной войны и других граждан, отнесенных федеральным или региональным законодательством к льготным категориям, включая участников специальной военной операции (СВО), а также членов их семей;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б) заслуженных работников   образования, здравоохранения, культуры, искусства, производственной сферы;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в) почетных граждан;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г) спортсменов, студентов, учащихся школ, достигших высоких показателей в своей деятельности;</w:t>
      </w:r>
    </w:p>
    <w:p w:rsidR="00280243" w:rsidRPr="00481C18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7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) с участием представителей органов местного самоуправления муниципального 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образования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00FE5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ского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 чествовании юбиляров;</w:t>
      </w:r>
    </w:p>
    <w:p w:rsidR="00280243" w:rsidRPr="00481C18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8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участием представителей органов местного самоуправления муници</w:t>
      </w:r>
      <w:r w:rsidR="00A00FE5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пального образования </w:t>
      </w:r>
      <w:r w:rsidR="003174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proofErr w:type="spellStart"/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174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тайского края в траурных мероприятиях, посвященных памятным общероссийским датам;</w:t>
      </w:r>
    </w:p>
    <w:p w:rsidR="00280243" w:rsidRPr="00481C18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9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участием представителей органов местного самоуправления муници</w:t>
      </w:r>
      <w:r w:rsidR="00A00FE5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756B3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</w:t>
      </w:r>
      <w:r w:rsidR="00756B3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поселение </w:t>
      </w:r>
      <w:proofErr w:type="spellStart"/>
      <w:r w:rsidR="00756B3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756B3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756B3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в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траурных мероприятиях, связанных со смертью людей, внесших значительный вклад в развитие муници</w:t>
      </w:r>
      <w:r w:rsidR="00F243B4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756B34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56B3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proofErr w:type="spellStart"/>
      <w:r w:rsidR="00756B3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756B3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756B34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края, участников СВО;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</w:t>
      </w:r>
      <w:r w:rsidR="0059340D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0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организацией презентаций для инвесторов, партнеров;</w:t>
      </w:r>
    </w:p>
    <w:p w:rsidR="00280243" w:rsidRPr="00481C18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11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вручением муниципальных наград, наград Алтайского края или наград Российской Федерации;</w:t>
      </w:r>
    </w:p>
    <w:p w:rsidR="00280243" w:rsidRPr="00481C18" w:rsidRDefault="0059340D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12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 с участием в официальных мероприятиях, посвященных открытию (введению в эксплуатацию) социально-значимых объектов.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2.3</w:t>
      </w:r>
      <w:r w:rsidR="00F243B4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представительским расходам и иным расходам, связанным с представительской деятельностью органов мест</w:t>
      </w:r>
      <w:r w:rsidR="00F243B4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ного самоуправления </w:t>
      </w:r>
      <w:proofErr w:type="spellStart"/>
      <w:r w:rsidR="0059340D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Новополтавского</w:t>
      </w:r>
      <w:proofErr w:type="spellEnd"/>
      <w:r w:rsidR="0059340D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59340D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243B4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края, не относятся расходы на организацию развлечений, отдыха, профилактики или лечения заболеваний и расходы капитального характера, связанные с оборудованием места проведения мероприятий.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3. СОСТАВ И ПОРЯДОК ФИНАНСИРОВАНИЯ, РАСХОДОВАНИЯСРЕДСТВ НА ПРЕДСТАВИТЕЛЬСКИЕ РАСХОДЫИ ИНЫЕ РАСХОДЫ, СВЯЗАННЫЕ С ПРЕДСТАВИТЕЛЬСКОЙ ДЕЯТЕЛЬНОСТЬЮ ОРГАНОВ МЕСТНОГО</w:t>
      </w:r>
      <w:r w:rsidR="001B353B" w:rsidRPr="00481C1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САМОУПРАВЛЕНИЯ КЛЮЧЕВСКОГО</w:t>
      </w:r>
      <w:r w:rsidRPr="00481C1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280243" w:rsidRPr="0080797A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3.1.</w:t>
      </w:r>
      <w:r w:rsidR="001B353B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Средства на представительские расходы и иные расходы, связанные с представительской деятельностью, планируются и ежегодно утверждаются в сметах расходов органов местного самоуправления</w:t>
      </w:r>
      <w:r w:rsidR="0080797A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0797A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Новополтавского</w:t>
      </w:r>
      <w:proofErr w:type="spellEnd"/>
      <w:r w:rsidR="0080797A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B353B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Алтайского к</w:t>
      </w:r>
      <w:r w:rsidR="00D04DCD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рая по целевой статье 9990014711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(прочие выплаты по обязательствам государства</w:t>
      </w:r>
      <w:r w:rsidR="00F73FF7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(представительские расходы)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); 9990014760 (расходы, связанные с международной деятельностью) в размере, не превышающем 4 процента от расходов на оплату труда учреждения, утвержденных в б</w:t>
      </w:r>
      <w:r w:rsidR="001B353B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юджете Ключевского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района согласно п. 2 ст. 264 Налогового кодекса РФ.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3.2. Финансирование расходов на прием делегаций осуществляется на основании распорядительного документа (программы мероприятия (плана, протокола встречи)) органа местного самоуправления муници</w:t>
      </w:r>
      <w:r w:rsidR="001B353B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80797A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0797A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поселение </w:t>
      </w:r>
      <w:proofErr w:type="spellStart"/>
      <w:r w:rsidR="0080797A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80797A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0797A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 (должностного лица), осуществляющего прием соответствующей делегации. Указанные расходы финансируются за счет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средств местного бюджета при условии, если данные расходы не компенсируются за счет средств направляющей либо принимающей стороны.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3.3. Распорядительным документом: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а) утверждается программа мероприятия согласно Приложению № 1 с указанием цели участия в нем, состава участников мероприятия, даты и места проведения мероприятия;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б)</w:t>
      </w:r>
      <w:r w:rsidR="001B353B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утверждается предельная сумма расходов на данное мероприятие и смета расходов на организацию мероприятия согласно </w:t>
      </w:r>
      <w:hyperlink r:id="rId7" w:history="1">
        <w:r w:rsidRPr="00481C18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Приложению № </w:t>
        </w:r>
      </w:hyperlink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г) утверждается круг ответственных лиц за организацию и проведение мероприятия;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д) обозначаются источники финансирования расходов.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3.4. Проект распорядительного документа готовит лицо, ответственное за проведение мероприятия.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Смета расходов на организацию мероприятия согласовывается с </w:t>
      </w:r>
      <w:r w:rsidR="0080797A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бухгалтером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 утверждается в пределах, имеющихся в распоряжении средств местного бюджета на данный вид расходов.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Представительские расходы и иные расходы, связанные с представительской</w:t>
      </w:r>
      <w:r w:rsidR="00F73FF7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деятельностью, на сумму свыше 2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00 тысяч рублей, 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ут</w:t>
      </w:r>
      <w:r w:rsidR="00EA3FB3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верждаются решением</w:t>
      </w:r>
      <w:r w:rsidR="0080797A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80797A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Новополтавского</w:t>
      </w:r>
      <w:proofErr w:type="spellEnd"/>
      <w:r w:rsidR="0080797A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сельского Собрания Ключевского 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депутатов</w:t>
      </w:r>
      <w:r w:rsidR="0080797A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 района</w:t>
      </w:r>
      <w:r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3.5.</w:t>
      </w:r>
      <w:r w:rsidR="00EA3FB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Размер представительских расходов и иных расходов, связанных с представительской деятельностью, устанавливается в соответствии с предельными нормативами ра</w:t>
      </w:r>
      <w:r w:rsidR="0080797A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сходов за счет средств </w:t>
      </w:r>
      <w:r w:rsid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местного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бюджета согласно </w:t>
      </w:r>
      <w:hyperlink r:id="rId8" w:history="1">
        <w:r w:rsidRPr="00481C18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Приложениям №№ 3</w:t>
        </w:r>
      </w:hyperlink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 </w:t>
      </w:r>
      <w:hyperlink r:id="rId9" w:history="1">
        <w:r w:rsidRPr="00481C18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4</w:t>
        </w:r>
      </w:hyperlink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, 5 к настоящему Положению.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3.6. Представительские расходы и иные расходы, связанные с представительской деятельностью, осуществляются как наличными денежными средствами, так и безналичным путем согласно заключенным договорам/контрактам.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3.7. Выдача денежных средств под отчет на представительские расходы и иные расходы, связанные с представительской деятельностью, производится должностному лицу, уполномоченному на это соответствующим распоряжением.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4.ПОРЯДОК ДОКУМЕНТАЛЬНОГО ОФОРМЛЕНИЯ И ОТРАЖЕНИЯ В БУХГАЛТЕРСКОМ УЧЁТЕ ПРЕДСТАВИТЕЛЬСКИХ РАСХОДОВИ ИНЫХ РАСХОДОВ, СВЯЗАННЫХ С ПРЕДСТАВИТЕЛЬСКОЙ ДЕЯТЕЛЬНОСТЬЮ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4.1. Расходование средств признаётся обоснованным и документально подтвержденным при наличии первичных учетных документов, оформленных в соответствии с законодательством Российской Федерации.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4.2. По окончании мероприятия ответственным за проведение мероприятия (отчетным лицом), составляется отчет (</w:t>
      </w:r>
      <w:hyperlink r:id="rId10" w:history="1">
        <w:r w:rsidRPr="00481C18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Приложения № </w:t>
        </w:r>
      </w:hyperlink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6, </w:t>
      </w:r>
      <w:hyperlink r:id="rId11" w:history="1">
        <w:r w:rsidRPr="00481C18">
          <w:rPr>
            <w:rFonts w:ascii="PT Astra Serif" w:eastAsia="Times New Roman" w:hAnsi="PT Astra Serif" w:cs="Times New Roman"/>
            <w:sz w:val="28"/>
            <w:szCs w:val="28"/>
            <w:bdr w:val="none" w:sz="0" w:space="0" w:color="auto" w:frame="1"/>
            <w:lang w:eastAsia="ru-RU"/>
          </w:rPr>
          <w:t>7</w:t>
        </w:r>
      </w:hyperlink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), подтверждающий фактически произведенные расходы, с приложением к нему первичных оправдательных документов.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течение трех дней после проведения представительского мероприятия лицо, получившее наличные денежные средства на проведение указанного мероприятия, обязано отчитаться, пред</w:t>
      </w:r>
      <w:r w:rsidR="0080797A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оставив в бухгалтерию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авансовый отчет с приложением к нему отчета о произведенных представительских расходах и оправдательных документов и/или вернуть неиспользованные денежные средства.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4.3. Затраты на расходы подтверждаются следующими документами: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правовой акт об осуществлении расходов и (или) программа мероприятий (план, протокол встречи, заседания);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смета по проведению мероприятия;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акт о списании материальных запасов установленной формы, подписанный должностным лицом;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список участников мероприятия, включая состав делегации принимающей стороны;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документы, подтверждающие проживание в гостинице и проезд к месту проведения мероприятия и обратно;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кассовый чек, товарный чек, квитанция или другой документ, подтверждающий прием денежных средств за соответствующие товары, работы, услуги;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отчет о произведенных представительских расходах;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- авансовый отчет материально ответственного лица.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Указанные доку</w:t>
      </w:r>
      <w:r w:rsidR="00383CE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менты предоставляются в бухгалтерию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лицом, ответственным за проведение мероприятий.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4.4. Приобретенные материальные ценности подлежат оприходованию и отражаются в бухгалтерском учете органов местного самоуправления муници</w:t>
      </w:r>
      <w:r w:rsidR="00471C37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383CE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383CE9" w:rsidRP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383CE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383CE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F73FF7" w:rsidRDefault="00F73FF7" w:rsidP="002802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b/>
          <w:bCs/>
          <w:sz w:val="28"/>
          <w:szCs w:val="28"/>
          <w:bdr w:val="none" w:sz="0" w:space="0" w:color="auto" w:frame="1"/>
          <w:lang w:eastAsia="ru-RU"/>
        </w:rPr>
        <w:t>5. ОТВЕТСТВЕННОСТЬ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 1.</w:t>
      </w:r>
      <w:r w:rsidR="00471C37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Ответственность за своевременность представления отчетных документов несет ответственное лицо, за целевое испо</w:t>
      </w:r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льзование средств </w:t>
      </w:r>
      <w:r w:rsid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местного </w:t>
      </w:r>
      <w:proofErr w:type="gramStart"/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бюджета 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–</w:t>
      </w:r>
      <w:proofErr w:type="gramEnd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руководитель органа местного самоуправления.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 В случае нецелевого испо</w:t>
      </w:r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льзования средств </w:t>
      </w:r>
      <w:r w:rsidR="00DD349E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местного </w:t>
      </w:r>
      <w:proofErr w:type="gramStart"/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бюджета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на</w:t>
      </w:r>
      <w:proofErr w:type="gramEnd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представительские расходы и иные расходы, связанные с представительской деятельностью, должностные лица несут ответственность, предусмотренную действующим законодательством Российской Федерации.</w:t>
      </w: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471C37" w:rsidRPr="00481C18" w:rsidRDefault="00471C37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F73FF7" w:rsidRDefault="00652B89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F73FF7" w:rsidRDefault="00F73FF7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347D1D" w:rsidRDefault="00347D1D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347D1D" w:rsidRDefault="00347D1D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F73FF7" w:rsidRDefault="00F73FF7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F73FF7" w:rsidRDefault="00F73FF7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652B89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Приложение № 1</w:t>
      </w:r>
    </w:p>
    <w:p w:rsidR="00280243" w:rsidRPr="00481C18" w:rsidRDefault="00280243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280243" w:rsidRPr="00481C18" w:rsidRDefault="00280243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280243" w:rsidRPr="00481C18" w:rsidRDefault="00280243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</w:p>
    <w:p w:rsidR="00280243" w:rsidRPr="00481C18" w:rsidRDefault="00652B89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представительской деятельностью</w:t>
      </w:r>
    </w:p>
    <w:p w:rsidR="00280243" w:rsidRPr="00481C18" w:rsidRDefault="00280243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280243" w:rsidRPr="00481C18" w:rsidRDefault="00280243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</w:p>
    <w:p w:rsidR="00280243" w:rsidRPr="00481C18" w:rsidRDefault="00817BAC" w:rsidP="00652B8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p w:rsidR="00652B89" w:rsidRPr="00481C18" w:rsidRDefault="00652B89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ПРОГРАММА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ПРОВЕДЕНИЯ ПРЕДСТАВИТЕЛЬСКИХ МЕРОПРИЯТИЙ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 местного самоуправления</w:t>
      </w:r>
    </w:p>
    <w:p w:rsidR="00652B89" w:rsidRPr="00481C18" w:rsidRDefault="00652B89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Цель проведения (вопросы) 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Дата проведения: с "____" ___________ 20___ г. по "____" ____________20___ г.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Место проведения: _________________________________________________________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Приглашенные должностные лица: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 (Ф.И.О.)                               (должность)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Планируется также присутствие других приглашенных лиц в кол-ве ____ чел.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Со стороны учреждения планируется участие следующих лиц: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 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________________________________________     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 (Ф.И.О.)                               (должность)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Планируется также присутствие других приглашенных лиц в кол-ве _______ чел.</w:t>
      </w:r>
    </w:p>
    <w:p w:rsidR="00280243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Источники финансирования __________________________________________________</w:t>
      </w:r>
    </w:p>
    <w:p w:rsidR="00347D1D" w:rsidRPr="00481C18" w:rsidRDefault="00347D1D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tbl>
      <w:tblPr>
        <w:tblW w:w="99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5891"/>
        <w:gridCol w:w="1877"/>
        <w:gridCol w:w="1878"/>
      </w:tblGrid>
      <w:tr w:rsidR="00280243" w:rsidRPr="00481C18" w:rsidTr="00280243">
        <w:trPr>
          <w:trHeight w:val="240"/>
          <w:jc w:val="center"/>
        </w:trPr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Представительские мероприятия       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Дата   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Время  </w:t>
            </w:r>
          </w:p>
        </w:tc>
      </w:tr>
      <w:tr w:rsidR="00280243" w:rsidRPr="00481C18" w:rsidTr="00280243">
        <w:trPr>
          <w:trHeight w:val="240"/>
          <w:jc w:val="center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280243" w:rsidRPr="00481C18" w:rsidTr="00280243">
        <w:trPr>
          <w:trHeight w:val="120"/>
          <w:jc w:val="center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80243" w:rsidRPr="00481C18" w:rsidTr="00280243">
        <w:trPr>
          <w:trHeight w:val="120"/>
          <w:jc w:val="center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652B89" w:rsidRPr="00481C18" w:rsidRDefault="00652B89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lastRenderedPageBreak/>
        <w:t>Ответственное лицо: ________________/_________________</w:t>
      </w: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Приложение № 2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p w:rsidR="00652B89" w:rsidRPr="00481C18" w:rsidRDefault="00652B89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СМЕТА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Место проведения 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"____" __________ 20___ г.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Приглашенные лица в кол-ве ___________ чел.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Официальные участники со стороны учреждения _______ чел.</w:t>
      </w:r>
    </w:p>
    <w:p w:rsidR="00280243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Источник финансирования ________________________________</w:t>
      </w:r>
    </w:p>
    <w:p w:rsidR="00347D1D" w:rsidRPr="00481C18" w:rsidRDefault="00347D1D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7638"/>
        <w:gridCol w:w="1300"/>
      </w:tblGrid>
      <w:tr w:rsidR="00280243" w:rsidRPr="00481C18" w:rsidTr="00280243">
        <w:trPr>
          <w:trHeight w:val="360"/>
        </w:trPr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представительских расходов (состав расходов)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Суммы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(руб.)</w:t>
            </w:r>
          </w:p>
        </w:tc>
      </w:tr>
      <w:tr w:rsidR="00280243" w:rsidRPr="00481C18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 по официальному приему                 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280243" w:rsidRPr="00481C18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Буфетное обслуживание во время проведения переговоров, семинаров, конференций, «круглых столов», рабочих встреч, форумов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280243" w:rsidRPr="00481C18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Оплата услуг переводчиков, не состоящих в штате организации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280243" w:rsidRPr="00481C18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80243" w:rsidRPr="00481C18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280243" w:rsidRPr="00481C18" w:rsidTr="00280243">
        <w:trPr>
          <w:trHeight w:val="240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proofErr w:type="gramStart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ИТОГО:   </w:t>
            </w:r>
            <w:proofErr w:type="gramEnd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       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</w:tbl>
    <w:p w:rsidR="00652B89" w:rsidRPr="00481C18" w:rsidRDefault="00652B89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Обоснование расходов по каждому пункту.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Подпись ответственного лица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________________/ _______________/ 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 (</w:t>
      </w:r>
      <w:proofErr w:type="gramStart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подпись)   </w:t>
      </w:r>
      <w:proofErr w:type="gramEnd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 (Ф.И.О.)                   (должность)</w:t>
      </w: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652B89" w:rsidRPr="00481C18" w:rsidRDefault="00652B89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Приложение № 3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p w:rsidR="00652B89" w:rsidRPr="00481C18" w:rsidRDefault="00652B89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652B89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Нормы представительских расходов, связанных с приемом, направлением и (или) обслуживанием делегаций</w:t>
      </w:r>
      <w:r w:rsidR="00652B8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и отдельных лиц, участвующих в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мероприятиях,</w:t>
      </w:r>
      <w:r w:rsidR="00652B89" w:rsidRPr="00481C18">
        <w:rPr>
          <w:rFonts w:ascii="PT Astra Serif" w:eastAsia="Times New Roman" w:hAnsi="PT Astra Serif" w:cs="Arial"/>
          <w:sz w:val="18"/>
          <w:szCs w:val="18"/>
          <w:lang w:eastAsia="ru-RU"/>
        </w:rPr>
        <w:t xml:space="preserve"> 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проводимых с участием органов местного самоуправления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</w:t>
      </w:r>
      <w:r w:rsidR="00652B89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пального образования</w:t>
      </w:r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817BAC" w:rsidRPr="00F338E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817BAC" w:rsidRPr="00F338E9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Ключевского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края.</w:t>
      </w:r>
    </w:p>
    <w:p w:rsidR="00652B89" w:rsidRPr="00481C18" w:rsidRDefault="00652B89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tbl>
      <w:tblPr>
        <w:tblW w:w="97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3043"/>
      </w:tblGrid>
      <w:tr w:rsidR="00280243" w:rsidRPr="00481C18" w:rsidTr="00817BAC">
        <w:trPr>
          <w:trHeight w:val="360"/>
          <w:jc w:val="center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статьи расходов          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Предельные нормативы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расходов      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Для руководителей делегаций                   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</w:t>
            </w:r>
          </w:p>
        </w:tc>
      </w:tr>
      <w:tr w:rsidR="00280243" w:rsidRPr="00481C18" w:rsidTr="00817BAC">
        <w:trPr>
          <w:trHeight w:val="36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817BAC" w:rsidP="00817BAC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Для членов делегации, </w:t>
            </w:r>
            <w:r w:rsidR="00280243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и          </w:t>
            </w:r>
            <w:r w:rsidR="00280243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сопровождающих лиц                           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</w:t>
            </w:r>
          </w:p>
        </w:tc>
      </w:tr>
      <w:tr w:rsidR="00280243" w:rsidRPr="00481C18" w:rsidTr="00817BAC">
        <w:trPr>
          <w:trHeight w:val="36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Бронирование гостиницы                        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по заявкам принимающей стороны               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в размере 30 процентов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стоимости места за сутки</w:t>
            </w:r>
          </w:p>
        </w:tc>
      </w:tr>
      <w:tr w:rsidR="00280243" w:rsidRPr="00481C18" w:rsidTr="00817BAC">
        <w:trPr>
          <w:trHeight w:val="1071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Оплата питания (в сутки на одного </w:t>
            </w:r>
            <w:proofErr w:type="gramStart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человека)   </w:t>
            </w:r>
            <w:proofErr w:type="gramEnd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 но не более 3000 руб.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 официальный прием (на одного человека в </w:t>
            </w:r>
            <w:proofErr w:type="gramStart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день)   </w:t>
            </w:r>
            <w:proofErr w:type="gramEnd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   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до 3000 руб.            </w:t>
            </w:r>
          </w:p>
        </w:tc>
      </w:tr>
      <w:tr w:rsidR="00280243" w:rsidRPr="00481C18" w:rsidTr="00817BAC">
        <w:trPr>
          <w:trHeight w:val="48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Буфетное обслуживание во время переговоров, семинаров, конференций, «круглых столов», рабочих встреч, форумов (на одного человека в день, включая переводчика и сопровождающего)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до 800 руб.            </w:t>
            </w:r>
          </w:p>
        </w:tc>
      </w:tr>
      <w:tr w:rsidR="00280243" w:rsidRPr="00481C18" w:rsidTr="00817BAC">
        <w:trPr>
          <w:trHeight w:val="48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 оплату санитарно-гигиенических предметов (салфетки, разовая посуда и т.п.)</w:t>
            </w:r>
            <w:r w:rsidR="00652B89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и средств (на одного человека, включая переводчика и сопровождающего)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до 100 руб.</w:t>
            </w:r>
          </w:p>
        </w:tc>
      </w:tr>
      <w:tr w:rsidR="00280243" w:rsidRPr="00481C18" w:rsidTr="00817BAC">
        <w:trPr>
          <w:trHeight w:val="36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Оплата проезда к месту проведения мероприятий и обратно   общественным воздушным</w:t>
            </w:r>
            <w:r w:rsidR="00652B89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(по стоимости билета эконом-класса), железнодорожным, автомобильным (кроме легковых такси), водным транспортом делегаций и отдельных лиц      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br/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по фактическим расходам с учетом утвержденных норм, установленных Порядком возмещения расходов, связанных со 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служебными командировками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Обслуживание делегаций автомобильным транспортом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 (согласно договору)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Канцелярские товары, в том числе с соответствующей символикой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 но не более 2000 руб. на одного человека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Аренда помещений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 (согласно договору)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Приобретение или изготовление полиграфической продукции (поздравительных открыток, визиток, </w:t>
            </w:r>
            <w:proofErr w:type="spellStart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бейджиков</w:t>
            </w:r>
            <w:proofErr w:type="spellEnd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, благодарственных писем, грамот, приветственных адресов, приглашений), рамок для грамот и т.п.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проведением встреч с руководителями организаций, предприятий и учреждений муниципального района, жителями района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 не более 1 000 рублей на одного человека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организацией презентаций для инвесторов, партнеров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 но не более 10 000 руб.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 цветов для чествования работников органов местного самоуправления в связи юбилейными датами (50, 55 лет и далее каждые пять лет)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не более 3000 руб.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Чествование граждан, внесших значительный вклад в развитие муниципального района, а также в связи с присвоением им почетного звания и (или) награждения Благодарственным письмом, Почетной грамотой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 не более 5 000 рублей на одного человека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мероприятиями по открытию социально-значимых объектов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 не более 20 000 рублей</w:t>
            </w:r>
          </w:p>
        </w:tc>
      </w:tr>
      <w:tr w:rsidR="00280243" w:rsidRPr="00481C18" w:rsidTr="00817BAC">
        <w:trPr>
          <w:trHeight w:val="24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Расходы, связанные с официальным посещением торжественных приемов, конференций, совещаний, презентаций и иных массовых мероприятий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 фактическим расходам,</w:t>
            </w:r>
          </w:p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 не более 10 000 рублей</w:t>
            </w:r>
          </w:p>
        </w:tc>
      </w:tr>
    </w:tbl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347D1D" w:rsidRDefault="00347D1D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347D1D" w:rsidRDefault="00347D1D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347D1D" w:rsidRPr="00481C18" w:rsidRDefault="00347D1D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Приложение № 4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</w:p>
    <w:p w:rsidR="00817BAC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p w:rsidR="00347D1D" w:rsidRDefault="00347D1D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347D1D" w:rsidRPr="00481C18" w:rsidRDefault="00347D1D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p w:rsidR="00E5200A" w:rsidRPr="00481C18" w:rsidRDefault="00280243" w:rsidP="00280243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Нормы расходов, связанных с вручением сувенирной продукции, цветов и цветочных композиций на мероприятиях, в которых участвуют органы местного самоуправления муниципального образования </w:t>
      </w:r>
    </w:p>
    <w:p w:rsidR="00280243" w:rsidRPr="00481C18" w:rsidRDefault="00817BAC" w:rsidP="00280243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сельское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поселенние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 Ключевского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280243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980"/>
        <w:gridCol w:w="1783"/>
        <w:gridCol w:w="1783"/>
      </w:tblGrid>
      <w:tr w:rsidR="00280243" w:rsidRPr="00481C18" w:rsidTr="00280243">
        <w:trPr>
          <w:jc w:val="center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33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32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</w:t>
            </w:r>
          </w:p>
        </w:tc>
      </w:tr>
      <w:tr w:rsidR="00280243" w:rsidRPr="00481C18" w:rsidTr="00280243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 единица сувенирной продукции (по фактическим расходам, но не более) тыс.</w:t>
            </w:r>
            <w:r w:rsidR="00E5200A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 букет цветов, цветочная композиция (по фактическим расходам, но не более) тыс.</w:t>
            </w:r>
            <w:r w:rsidR="00E5200A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юбилейных, праздничных исторических и памятных мероприятий регионального и местного значения.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Юбилейные и праздничные даты предприятий, организаций, учреждений и их руководителей.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  торжественных приемов, организованных органами местного самоуправления муници</w:t>
            </w:r>
            <w:r w:rsidR="00E5200A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пального образования </w:t>
            </w:r>
            <w:r w:rsidR="00817BAC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сельское поселение </w:t>
            </w:r>
            <w:proofErr w:type="spellStart"/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Новополтавский</w:t>
            </w:r>
            <w:proofErr w:type="spellEnd"/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 Ключевского</w:t>
            </w:r>
            <w:r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</w:t>
            </w:r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 края.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4,0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3,0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Поздравление руководителей органов государственной власти, федеральных структур, глав муниципальных образований, депутатов выборных органов государственной власти и местного самоуправления, с которыми взаимодействуют органы местного 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самоуправления муници</w:t>
            </w:r>
            <w:r w:rsidR="00E5200A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пального образования </w:t>
            </w:r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сельское поселение </w:t>
            </w:r>
            <w:proofErr w:type="spellStart"/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Новополтавский</w:t>
            </w:r>
            <w:proofErr w:type="spellEnd"/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 Ключевского</w:t>
            </w:r>
            <w:r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</w:t>
            </w:r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края в связи с юбилейными, праздничными (в том числе профессиональными праздниками), историческими и иными памятными датами.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Приемы делегаций органов власти и управления Российской Федерации, субъектов Российской Федерации, муниципальных образований, иностранных государств.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817BAC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Вручение сувенирной продукции при выезде представителей органов местного самоуправления муници</w:t>
            </w:r>
            <w:r w:rsidR="00E5200A"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пального образования </w:t>
            </w:r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сельское поселение </w:t>
            </w:r>
            <w:proofErr w:type="spellStart"/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Новополтавский</w:t>
            </w:r>
            <w:proofErr w:type="spellEnd"/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сельсовет </w:t>
            </w:r>
            <w:r w:rsidR="00E5200A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Ключевск</w:t>
            </w:r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ого</w:t>
            </w:r>
            <w:r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</w:t>
            </w:r>
            <w:r w:rsidR="00817BAC"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347D1D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Алтайского края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составе официальных делегаций и групп в иные населенные пункты.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 цветов при проведении мероприятий для возложения к мемориалам.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  <w:tr w:rsidR="00280243" w:rsidRPr="00481C18" w:rsidTr="00280243">
        <w:trPr>
          <w:jc w:val="center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 цветков (венков) для участия ритуальных мероприятий.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5,0</w:t>
            </w:r>
          </w:p>
        </w:tc>
      </w:tr>
    </w:tbl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E5200A" w:rsidRPr="00481C18" w:rsidRDefault="00E5200A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Приложение № 5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</w:p>
    <w:p w:rsidR="00817BAC" w:rsidRPr="00481C18" w:rsidRDefault="000F0934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с представительской </w:t>
      </w:r>
      <w:r w:rsidR="00817BAC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деятельностью</w:t>
      </w:r>
      <w:r>
        <w:rPr>
          <w:rFonts w:ascii="PT Astra Serif" w:eastAsia="Times New Roman" w:hAnsi="PT Astra Serif" w:cs="Arial"/>
          <w:sz w:val="18"/>
          <w:szCs w:val="18"/>
          <w:lang w:eastAsia="ru-RU"/>
        </w:rPr>
        <w:t xml:space="preserve"> </w:t>
      </w:r>
      <w:r w:rsidR="00817BAC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  <w:r>
        <w:rPr>
          <w:rFonts w:ascii="PT Astra Serif" w:eastAsia="Times New Roman" w:hAnsi="PT Astra Serif" w:cs="Arial"/>
          <w:sz w:val="18"/>
          <w:szCs w:val="18"/>
          <w:lang w:eastAsia="ru-RU"/>
        </w:rPr>
        <w:t xml:space="preserve"> </w:t>
      </w:r>
      <w:r w:rsidR="00817BAC"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 w:rsidR="00817BAC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</w:p>
    <w:p w:rsidR="00817BAC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p w:rsidR="00347D1D" w:rsidRDefault="00347D1D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347D1D" w:rsidRPr="00481C18" w:rsidRDefault="00347D1D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Нормы расходов, связанных с приобретением продуктов питания и расходов на сервировку и обслуживание для залов заседаний, приемных</w:t>
      </w:r>
    </w:p>
    <w:tbl>
      <w:tblPr>
        <w:tblW w:w="89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  <w:gridCol w:w="3119"/>
      </w:tblGrid>
      <w:tr w:rsidR="00F338E9" w:rsidRPr="00481C18" w:rsidTr="00F338E9">
        <w:trPr>
          <w:trHeight w:val="1080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38E9" w:rsidRPr="00481C18" w:rsidRDefault="00F338E9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       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38E9" w:rsidRPr="00481C18" w:rsidRDefault="00F338E9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proofErr w:type="gramStart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Залы  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заседаний</w:t>
            </w:r>
            <w:proofErr w:type="gramEnd"/>
          </w:p>
        </w:tc>
      </w:tr>
      <w:tr w:rsidR="00F338E9" w:rsidRPr="00481C18" w:rsidTr="00F338E9">
        <w:trPr>
          <w:trHeight w:val="6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38E9" w:rsidRPr="00481C18" w:rsidRDefault="00F338E9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Приобретение кофе, чая, напитков (питьевая вода, молоко, сливки), кондитерских и выпечных изделий (печенье, конфеты и пр.), фруктов.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38E9" w:rsidRPr="00481C18" w:rsidRDefault="00F338E9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Не более 5,0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тыс. руб. в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месяц      </w:t>
            </w:r>
          </w:p>
        </w:tc>
      </w:tr>
      <w:tr w:rsidR="00F338E9" w:rsidRPr="00481C18" w:rsidTr="00F338E9">
        <w:trPr>
          <w:trHeight w:val="60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38E9" w:rsidRPr="00481C18" w:rsidRDefault="00F338E9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Расходы на сервировку и обслуживание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38E9" w:rsidRPr="00481C18" w:rsidRDefault="00F338E9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Не более 5,0</w:t>
            </w:r>
          </w:p>
          <w:p w:rsidR="00F338E9" w:rsidRPr="00481C18" w:rsidRDefault="00F338E9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тыс. руб. в</w:t>
            </w:r>
          </w:p>
          <w:p w:rsidR="00F338E9" w:rsidRPr="00481C18" w:rsidRDefault="00F338E9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месяц        </w:t>
            </w:r>
          </w:p>
        </w:tc>
      </w:tr>
    </w:tbl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Приложение № 6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p w:rsidR="00D65824" w:rsidRPr="00481C18" w:rsidRDefault="00D65824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ОТЧЕТ № 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 "____" _________________ 20___ г.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ПРОИЗВЕДЕННЫХ ПРЕДСТАВИТЕЛЬСКИХ РАСХОДАХ(ИНЫХ)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целях ___________________________________________________________________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 (наименование учреждения)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соответствии с распоряжением ___________________________(ОМС) от «__</w:t>
      </w:r>
      <w:proofErr w:type="gramStart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_»_</w:t>
      </w:r>
      <w:proofErr w:type="gramEnd"/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 20__ года проведено мероприятие____________________________________________________________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 (наименование мероприятия)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Место проведения мероприятия _________________________________.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Цель проведения мероприятия __________________________________.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Количество присутствующих: ________________ чел.,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том числе: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представители учреждения __________________ чел.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Приглашенные _______________________ чел.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Источники финансирования __________________________________________________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Общая сумма расходов на проведение мероприятия составила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_________________рублей (____________________) (сумма прописью)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том числе: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657"/>
        <w:gridCol w:w="2317"/>
        <w:gridCol w:w="2379"/>
      </w:tblGrid>
      <w:tr w:rsidR="00280243" w:rsidRPr="00481C18" w:rsidTr="00280243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расходов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Сумма в рублях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Подтверждающие документы</w:t>
            </w:r>
          </w:p>
        </w:tc>
      </w:tr>
      <w:tr w:rsidR="00280243" w:rsidRPr="00481C18" w:rsidTr="00280243"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D65824" w:rsidRPr="00481C18" w:rsidRDefault="00D65824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Авансовый отчет с подтверждающими документами прилагается на ______ листах.</w:t>
      </w:r>
    </w:p>
    <w:p w:rsidR="00D65824" w:rsidRPr="00481C18" w:rsidRDefault="00D65824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Подпись ответственного лица _______________/_____________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D65824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0F0934" w:rsidRDefault="000F093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0F0934" w:rsidRDefault="000F093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0F0934" w:rsidRPr="00481C18" w:rsidRDefault="000F093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D65824" w:rsidRPr="00481C18" w:rsidRDefault="00D65824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Приложение № 7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 Положению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представительских расходах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 иных расходах, связанных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с представительской деятельностью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органов местного самоуправления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сельское поселение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Новополтавский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сельсовет</w:t>
      </w:r>
    </w:p>
    <w:p w:rsidR="00817BAC" w:rsidRPr="00481C18" w:rsidRDefault="00817BAC" w:rsidP="00817BAC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Ключевского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 xml:space="preserve"> Алтайского края</w:t>
      </w:r>
    </w:p>
    <w:p w:rsidR="00D65824" w:rsidRPr="00481C18" w:rsidRDefault="00D65824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ОТЧЕТ № 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от "____" _________________ 20___ г.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О ПРОИЗВЕДЕННЫХ ПРЕДСТАВИТЕЛЬСКИХ РАСХОДАХ(ИНЫХ)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В целях __________________________________________________________________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 (наименование мероприятия, реквизиты распорядительного документа)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были проведены ____________________________________________________________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 (наименование расходов)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Присутствовали на мероприятии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Представители организации: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1. 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 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3. _______________________________________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Приобретенные материальные ценности использованы на:</w:t>
      </w: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1. Вручение</w:t>
      </w:r>
    </w:p>
    <w:tbl>
      <w:tblPr>
        <w:tblW w:w="101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538"/>
        <w:gridCol w:w="3074"/>
        <w:gridCol w:w="1541"/>
        <w:gridCol w:w="951"/>
      </w:tblGrid>
      <w:tr w:rsidR="00280243" w:rsidRPr="00481C18" w:rsidTr="00280243">
        <w:trPr>
          <w:trHeight w:val="480"/>
          <w:jc w:val="center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юридического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лица    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Должностное </w:t>
            </w:r>
            <w:proofErr w:type="gramStart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лицо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(</w:t>
            </w:r>
            <w:proofErr w:type="gramEnd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Ф.И.О. физ. лица)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    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материальных ценностей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Сумма</w:t>
            </w:r>
          </w:p>
        </w:tc>
      </w:tr>
      <w:tr w:rsidR="00280243" w:rsidRPr="00481C18" w:rsidTr="00347D1D">
        <w:trPr>
          <w:trHeight w:val="120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47D1D" w:rsidRPr="00481C18" w:rsidTr="00280243">
        <w:trPr>
          <w:trHeight w:val="120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347D1D" w:rsidRDefault="00347D1D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2. Иные цели (указать какие) ___________________________</w:t>
      </w:r>
    </w:p>
    <w:tbl>
      <w:tblPr>
        <w:tblW w:w="10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515"/>
        <w:gridCol w:w="3047"/>
        <w:gridCol w:w="1541"/>
        <w:gridCol w:w="946"/>
      </w:tblGrid>
      <w:tr w:rsidR="00280243" w:rsidRPr="00481C18" w:rsidTr="00280243">
        <w:trPr>
          <w:trHeight w:val="480"/>
          <w:jc w:val="center"/>
        </w:trPr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юридического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лица    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Должностное </w:t>
            </w:r>
            <w:proofErr w:type="gramStart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лицо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(</w:t>
            </w:r>
            <w:proofErr w:type="gramEnd"/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Ф.И.О. физ. лица)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    </w:t>
            </w: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материальных ценностей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81C18">
              <w:rPr>
                <w:rFonts w:ascii="PT Astra Serif" w:eastAsia="Times New Roman" w:hAnsi="PT Astra Serif" w:cs="Times New Roman"/>
                <w:sz w:val="28"/>
                <w:szCs w:val="28"/>
                <w:bdr w:val="none" w:sz="0" w:space="0" w:color="auto" w:frame="1"/>
                <w:lang w:eastAsia="ru-RU"/>
              </w:rPr>
              <w:t>Сумма</w:t>
            </w:r>
          </w:p>
        </w:tc>
      </w:tr>
      <w:tr w:rsidR="00280243" w:rsidRPr="00481C18" w:rsidTr="00347D1D">
        <w:trPr>
          <w:trHeight w:val="120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80243" w:rsidRPr="00481C18" w:rsidRDefault="00280243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347D1D" w:rsidRPr="00481C18" w:rsidTr="00280243">
        <w:trPr>
          <w:trHeight w:val="120"/>
          <w:jc w:val="center"/>
        </w:trPr>
        <w:tc>
          <w:tcPr>
            <w:tcW w:w="2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D1D" w:rsidRPr="00481C18" w:rsidRDefault="00347D1D" w:rsidP="00280243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D65824" w:rsidRPr="00481C18" w:rsidRDefault="00D65824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Источник финансирования ___________________________</w:t>
      </w:r>
    </w:p>
    <w:p w:rsidR="00D65824" w:rsidRPr="00481C18" w:rsidRDefault="00D65824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Авансовый отчет с подтверждающими документами прилагается на _____ листах.</w:t>
      </w:r>
    </w:p>
    <w:p w:rsidR="00D65824" w:rsidRPr="00481C18" w:rsidRDefault="00D65824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</w:pPr>
    </w:p>
    <w:p w:rsidR="00280243" w:rsidRPr="00481C18" w:rsidRDefault="00280243" w:rsidP="00280243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PT Astra Serif" w:eastAsia="Times New Roman" w:hAnsi="PT Astra Serif" w:cs="Arial"/>
          <w:sz w:val="18"/>
          <w:szCs w:val="18"/>
          <w:lang w:eastAsia="ru-RU"/>
        </w:rPr>
      </w:pPr>
      <w:r w:rsidRPr="00481C18">
        <w:rPr>
          <w:rFonts w:ascii="PT Astra Serif" w:eastAsia="Times New Roman" w:hAnsi="PT Astra Serif" w:cs="Times New Roman"/>
          <w:sz w:val="28"/>
          <w:szCs w:val="28"/>
          <w:bdr w:val="none" w:sz="0" w:space="0" w:color="auto" w:frame="1"/>
          <w:lang w:eastAsia="ru-RU"/>
        </w:rPr>
        <w:t>Подпись ответственного лица ______________/_____________</w:t>
      </w:r>
    </w:p>
    <w:p w:rsidR="00FC032B" w:rsidRPr="00481C18" w:rsidRDefault="00FC032B" w:rsidP="00FC032B">
      <w:pPr>
        <w:ind w:left="720"/>
        <w:jc w:val="both"/>
        <w:rPr>
          <w:rFonts w:ascii="PT Astra Serif" w:hAnsi="PT Astra Serif"/>
          <w:sz w:val="28"/>
          <w:szCs w:val="28"/>
        </w:rPr>
      </w:pPr>
      <w:r w:rsidRPr="00481C18">
        <w:rPr>
          <w:rFonts w:ascii="PT Astra Serif" w:hAnsi="PT Astra Serif"/>
          <w:sz w:val="28"/>
          <w:szCs w:val="28"/>
        </w:rPr>
        <w:t xml:space="preserve">  </w:t>
      </w:r>
      <w:bookmarkEnd w:id="0"/>
    </w:p>
    <w:sectPr w:rsidR="00FC032B" w:rsidRPr="00481C18" w:rsidSect="005C292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1E0"/>
    <w:multiLevelType w:val="hybridMultilevel"/>
    <w:tmpl w:val="ECD2DB2A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11D719EC"/>
    <w:multiLevelType w:val="hybridMultilevel"/>
    <w:tmpl w:val="5A8C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D2069"/>
    <w:multiLevelType w:val="multilevel"/>
    <w:tmpl w:val="1722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92FD3"/>
    <w:multiLevelType w:val="hybridMultilevel"/>
    <w:tmpl w:val="F4F0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B11C1"/>
    <w:multiLevelType w:val="hybridMultilevel"/>
    <w:tmpl w:val="86445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3C"/>
    <w:rsid w:val="00000637"/>
    <w:rsid w:val="000138FC"/>
    <w:rsid w:val="000156CE"/>
    <w:rsid w:val="00015CDE"/>
    <w:rsid w:val="00027571"/>
    <w:rsid w:val="0005482C"/>
    <w:rsid w:val="00080379"/>
    <w:rsid w:val="0009612C"/>
    <w:rsid w:val="000A0FA6"/>
    <w:rsid w:val="000A1DC0"/>
    <w:rsid w:val="000B480F"/>
    <w:rsid w:val="000C0CAC"/>
    <w:rsid w:val="000F0934"/>
    <w:rsid w:val="00107A6A"/>
    <w:rsid w:val="00136071"/>
    <w:rsid w:val="00140765"/>
    <w:rsid w:val="00154A1E"/>
    <w:rsid w:val="0016213F"/>
    <w:rsid w:val="00181905"/>
    <w:rsid w:val="001A13E9"/>
    <w:rsid w:val="001B353B"/>
    <w:rsid w:val="001C2A42"/>
    <w:rsid w:val="001C3D98"/>
    <w:rsid w:val="001C55AF"/>
    <w:rsid w:val="00203DD6"/>
    <w:rsid w:val="00215CA4"/>
    <w:rsid w:val="0024023C"/>
    <w:rsid w:val="00272E77"/>
    <w:rsid w:val="00280243"/>
    <w:rsid w:val="00294F50"/>
    <w:rsid w:val="002A4634"/>
    <w:rsid w:val="002C24E9"/>
    <w:rsid w:val="002C7E8A"/>
    <w:rsid w:val="00300C21"/>
    <w:rsid w:val="003174F7"/>
    <w:rsid w:val="0033134A"/>
    <w:rsid w:val="00347D1D"/>
    <w:rsid w:val="00374A4C"/>
    <w:rsid w:val="00383CE9"/>
    <w:rsid w:val="003A09F9"/>
    <w:rsid w:val="003A4FA2"/>
    <w:rsid w:val="003B4B71"/>
    <w:rsid w:val="003D4A8F"/>
    <w:rsid w:val="003F79E5"/>
    <w:rsid w:val="004008E9"/>
    <w:rsid w:val="00401C55"/>
    <w:rsid w:val="00417D85"/>
    <w:rsid w:val="004546F7"/>
    <w:rsid w:val="00471C37"/>
    <w:rsid w:val="00481C18"/>
    <w:rsid w:val="00483EB8"/>
    <w:rsid w:val="00486716"/>
    <w:rsid w:val="004A1FC6"/>
    <w:rsid w:val="00513C53"/>
    <w:rsid w:val="00516FA6"/>
    <w:rsid w:val="00516FB2"/>
    <w:rsid w:val="0055605C"/>
    <w:rsid w:val="00575738"/>
    <w:rsid w:val="0058144F"/>
    <w:rsid w:val="00590E05"/>
    <w:rsid w:val="0059340D"/>
    <w:rsid w:val="005B1A59"/>
    <w:rsid w:val="005C2929"/>
    <w:rsid w:val="005D3C1D"/>
    <w:rsid w:val="005D7695"/>
    <w:rsid w:val="005E5464"/>
    <w:rsid w:val="005F0465"/>
    <w:rsid w:val="00610757"/>
    <w:rsid w:val="006164C8"/>
    <w:rsid w:val="00634E40"/>
    <w:rsid w:val="00644265"/>
    <w:rsid w:val="00652B89"/>
    <w:rsid w:val="00662CF4"/>
    <w:rsid w:val="006670A9"/>
    <w:rsid w:val="006672A7"/>
    <w:rsid w:val="00673B5E"/>
    <w:rsid w:val="0069268F"/>
    <w:rsid w:val="00693794"/>
    <w:rsid w:val="00696252"/>
    <w:rsid w:val="006B16F7"/>
    <w:rsid w:val="006D0EBA"/>
    <w:rsid w:val="006E0506"/>
    <w:rsid w:val="007103F0"/>
    <w:rsid w:val="00733EF8"/>
    <w:rsid w:val="00750531"/>
    <w:rsid w:val="00756B34"/>
    <w:rsid w:val="007667D7"/>
    <w:rsid w:val="007673E0"/>
    <w:rsid w:val="007903E7"/>
    <w:rsid w:val="007B4679"/>
    <w:rsid w:val="007C3169"/>
    <w:rsid w:val="007C41DC"/>
    <w:rsid w:val="007D39F5"/>
    <w:rsid w:val="007D6EA0"/>
    <w:rsid w:val="0080797A"/>
    <w:rsid w:val="00817BAC"/>
    <w:rsid w:val="00885163"/>
    <w:rsid w:val="00893129"/>
    <w:rsid w:val="008A5BBE"/>
    <w:rsid w:val="008B114E"/>
    <w:rsid w:val="008B7591"/>
    <w:rsid w:val="009072B1"/>
    <w:rsid w:val="00925BC6"/>
    <w:rsid w:val="00972436"/>
    <w:rsid w:val="00983580"/>
    <w:rsid w:val="009B418D"/>
    <w:rsid w:val="009E7267"/>
    <w:rsid w:val="009F6DFA"/>
    <w:rsid w:val="00A00FE5"/>
    <w:rsid w:val="00A27307"/>
    <w:rsid w:val="00A35747"/>
    <w:rsid w:val="00A6387F"/>
    <w:rsid w:val="00A87AAB"/>
    <w:rsid w:val="00AF1697"/>
    <w:rsid w:val="00AF722A"/>
    <w:rsid w:val="00B026C3"/>
    <w:rsid w:val="00B03ED0"/>
    <w:rsid w:val="00B20467"/>
    <w:rsid w:val="00B24CE3"/>
    <w:rsid w:val="00B54863"/>
    <w:rsid w:val="00B56940"/>
    <w:rsid w:val="00B62AA3"/>
    <w:rsid w:val="00B84AF4"/>
    <w:rsid w:val="00B9058A"/>
    <w:rsid w:val="00B93DFC"/>
    <w:rsid w:val="00BE5F09"/>
    <w:rsid w:val="00BF0066"/>
    <w:rsid w:val="00C10F17"/>
    <w:rsid w:val="00C11524"/>
    <w:rsid w:val="00C15CEB"/>
    <w:rsid w:val="00C43AD2"/>
    <w:rsid w:val="00C46195"/>
    <w:rsid w:val="00C547E0"/>
    <w:rsid w:val="00CC2478"/>
    <w:rsid w:val="00D04DCD"/>
    <w:rsid w:val="00D65824"/>
    <w:rsid w:val="00D80512"/>
    <w:rsid w:val="00DB7A5C"/>
    <w:rsid w:val="00DD349E"/>
    <w:rsid w:val="00DD63B5"/>
    <w:rsid w:val="00E272E1"/>
    <w:rsid w:val="00E425CE"/>
    <w:rsid w:val="00E42E51"/>
    <w:rsid w:val="00E46F3C"/>
    <w:rsid w:val="00E5200A"/>
    <w:rsid w:val="00E649C1"/>
    <w:rsid w:val="00E83FEA"/>
    <w:rsid w:val="00E84265"/>
    <w:rsid w:val="00EA08AC"/>
    <w:rsid w:val="00EA3FB3"/>
    <w:rsid w:val="00ED3A0F"/>
    <w:rsid w:val="00F101FC"/>
    <w:rsid w:val="00F243B4"/>
    <w:rsid w:val="00F336FD"/>
    <w:rsid w:val="00F338E9"/>
    <w:rsid w:val="00F35790"/>
    <w:rsid w:val="00F72242"/>
    <w:rsid w:val="00F73FF7"/>
    <w:rsid w:val="00F86152"/>
    <w:rsid w:val="00FA25BF"/>
    <w:rsid w:val="00FA6006"/>
    <w:rsid w:val="00FC032B"/>
    <w:rsid w:val="00FE0351"/>
    <w:rsid w:val="00FE168E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552BA-F047-4303-974D-03476C71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BAC"/>
  </w:style>
  <w:style w:type="paragraph" w:styleId="2">
    <w:name w:val="heading 2"/>
    <w:basedOn w:val="a"/>
    <w:next w:val="a"/>
    <w:link w:val="20"/>
    <w:uiPriority w:val="9"/>
    <w:unhideWhenUsed/>
    <w:qFormat/>
    <w:rsid w:val="00347D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EB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C0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C032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8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8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80243"/>
    <w:rPr>
      <w:color w:val="0000FF"/>
      <w:u w:val="single"/>
    </w:rPr>
  </w:style>
  <w:style w:type="paragraph" w:styleId="a9">
    <w:name w:val="No Spacing"/>
    <w:uiPriority w:val="1"/>
    <w:qFormat/>
    <w:rsid w:val="00C4619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47D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81177569BE26D5E6DD21F375D94E2C7584100D9E4FD88594E3316FB6EBE550E2841BA255AE737346291sBs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1E81177569BE26D5E6DD21F375D94E2C7584100D9E4FD88594E3316FB6EBE550E2841BA255AE737346397sBsA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E81177569BE26D5E6DD21F375D94E2C7584100D9E4FD88594E3316FB6EBE550E2841BA255AE737346294sBs6D" TargetMode="External"/><Relationship Id="rId11" Type="http://schemas.openxmlformats.org/officeDocument/2006/relationships/hyperlink" Target="consultantplus://offline/ref=E1E81177569BE26D5E6DD21F375D94E2C7584100D9E4FD88594E3316FB6EBE550E2841BA255AE737346395sBsC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E81177569BE26D5E6DD21F375D94E2C7584100D9E4FD88594E3316FB6EBE550E2841BA255AE737346395sBs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E81177569BE26D5E6DD21F375D94E2C7584100D9E4FD88594E3316FB6EBE550E2841BA255AE73734629FsBs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B1036-26C2-43FB-85D5-6C037E1A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17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Glava_rayona</dc:creator>
  <cp:keywords/>
  <dc:description/>
  <cp:lastModifiedBy>NewPoltava</cp:lastModifiedBy>
  <cp:revision>24</cp:revision>
  <cp:lastPrinted>2024-12-24T06:07:00Z</cp:lastPrinted>
  <dcterms:created xsi:type="dcterms:W3CDTF">2024-12-01T06:28:00Z</dcterms:created>
  <dcterms:modified xsi:type="dcterms:W3CDTF">2024-12-27T06:06:00Z</dcterms:modified>
</cp:coreProperties>
</file>