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5A" w:rsidRDefault="0072515A" w:rsidP="0072515A">
      <w:pPr>
        <w:spacing w:after="0"/>
        <w:jc w:val="center"/>
        <w:rPr>
          <w:rFonts w:ascii="Arial" w:hAnsi="Arial" w:cs="Arial"/>
          <w:b/>
        </w:rPr>
      </w:pPr>
      <w:r>
        <w:rPr>
          <w:rFonts w:ascii="Arial" w:hAnsi="Arial" w:cs="Arial"/>
          <w:b/>
        </w:rPr>
        <w:t>АДМИНИСТРАЦИЯ</w:t>
      </w:r>
    </w:p>
    <w:p w:rsidR="0072515A" w:rsidRDefault="0072515A" w:rsidP="0072515A">
      <w:pPr>
        <w:spacing w:after="0"/>
        <w:jc w:val="center"/>
        <w:rPr>
          <w:rFonts w:ascii="Arial" w:hAnsi="Arial" w:cs="Arial"/>
          <w:b/>
        </w:rPr>
      </w:pPr>
      <w:r>
        <w:rPr>
          <w:rFonts w:ascii="Arial" w:hAnsi="Arial" w:cs="Arial"/>
          <w:b/>
        </w:rPr>
        <w:t xml:space="preserve">  КАИПСКОГО  СЕЛЬСОВЕТА</w:t>
      </w:r>
    </w:p>
    <w:p w:rsidR="0072515A" w:rsidRDefault="0072515A" w:rsidP="0072515A">
      <w:pPr>
        <w:spacing w:after="0"/>
        <w:jc w:val="center"/>
        <w:rPr>
          <w:rFonts w:ascii="Arial" w:hAnsi="Arial" w:cs="Arial"/>
          <w:b/>
        </w:rPr>
      </w:pPr>
      <w:r>
        <w:rPr>
          <w:rFonts w:ascii="Arial" w:hAnsi="Arial" w:cs="Arial"/>
          <w:b/>
        </w:rPr>
        <w:t>КЛЮЧЕВСКОГО РАЙОНА АЛТАЙСКОГО КРАЯ</w:t>
      </w:r>
    </w:p>
    <w:p w:rsidR="0072515A" w:rsidRDefault="0072515A" w:rsidP="0072515A">
      <w:pPr>
        <w:spacing w:after="0"/>
        <w:rPr>
          <w:rFonts w:ascii="Arial" w:hAnsi="Arial" w:cs="Arial"/>
          <w:b/>
        </w:rPr>
      </w:pPr>
      <w:r w:rsidRPr="00CC2831">
        <w:pict>
          <v:shapetype id="_x0000_t32" coordsize="21600,21600" o:spt="32" o:oned="t" path="m,l21600,21600e" filled="f">
            <v:path arrowok="t" fillok="f" o:connecttype="none"/>
            <o:lock v:ext="edit" shapetype="t"/>
          </v:shapetype>
          <v:shape id="_x0000_s1026" type="#_x0000_t32" style="position:absolute;margin-left:-27.3pt;margin-top:3.65pt;width:508.5pt;height:0;z-index:251660288" o:connectortype="straight" strokeweight="2.25pt"/>
        </w:pict>
      </w:r>
    </w:p>
    <w:p w:rsidR="0072515A" w:rsidRDefault="0072515A" w:rsidP="0072515A">
      <w:pPr>
        <w:spacing w:after="0"/>
        <w:jc w:val="center"/>
        <w:rPr>
          <w:rFonts w:ascii="Arial" w:hAnsi="Arial" w:cs="Arial"/>
        </w:rPr>
      </w:pPr>
      <w:r>
        <w:rPr>
          <w:rFonts w:ascii="Arial" w:hAnsi="Arial" w:cs="Arial"/>
        </w:rPr>
        <w:t xml:space="preserve">Алтайский край, Ключевской район, с. </w:t>
      </w:r>
      <w:proofErr w:type="spellStart"/>
      <w:r>
        <w:rPr>
          <w:rFonts w:ascii="Arial" w:hAnsi="Arial" w:cs="Arial"/>
        </w:rPr>
        <w:t>Каип</w:t>
      </w:r>
      <w:proofErr w:type="spellEnd"/>
      <w:proofErr w:type="gramStart"/>
      <w:r>
        <w:rPr>
          <w:rFonts w:ascii="Arial" w:hAnsi="Arial" w:cs="Arial"/>
        </w:rPr>
        <w:t xml:space="preserve"> ,</w:t>
      </w:r>
      <w:proofErr w:type="gramEnd"/>
      <w:r>
        <w:rPr>
          <w:rFonts w:ascii="Arial" w:hAnsi="Arial" w:cs="Arial"/>
        </w:rPr>
        <w:t xml:space="preserve"> ул. Центральная  № 24,  </w:t>
      </w:r>
    </w:p>
    <w:p w:rsidR="0072515A" w:rsidRDefault="0072515A" w:rsidP="0072515A">
      <w:pPr>
        <w:spacing w:after="0"/>
        <w:jc w:val="center"/>
        <w:rPr>
          <w:rFonts w:ascii="Arial" w:hAnsi="Arial" w:cs="Arial"/>
        </w:rPr>
      </w:pPr>
      <w:r>
        <w:rPr>
          <w:rFonts w:ascii="Arial" w:hAnsi="Arial" w:cs="Arial"/>
        </w:rPr>
        <w:t>телефон 8(38578)27-3-77, факс 8(38578)27-3-77</w:t>
      </w:r>
    </w:p>
    <w:p w:rsidR="0072515A" w:rsidRDefault="0072515A" w:rsidP="0072515A">
      <w:pPr>
        <w:spacing w:after="0"/>
        <w:jc w:val="center"/>
        <w:rPr>
          <w:rFonts w:ascii="Arial" w:hAnsi="Arial" w:cs="Arial"/>
        </w:rPr>
      </w:pPr>
    </w:p>
    <w:p w:rsidR="0072515A" w:rsidRDefault="0072515A" w:rsidP="0072515A">
      <w:pPr>
        <w:spacing w:after="0" w:line="240" w:lineRule="auto"/>
        <w:ind w:right="284"/>
        <w:rPr>
          <w:rFonts w:eastAsia="Tunga"/>
          <w:szCs w:val="28"/>
        </w:rPr>
      </w:pPr>
    </w:p>
    <w:p w:rsidR="0072515A" w:rsidRDefault="0072515A" w:rsidP="0072515A">
      <w:pPr>
        <w:tabs>
          <w:tab w:val="left" w:pos="3600"/>
        </w:tabs>
        <w:spacing w:after="0"/>
        <w:jc w:val="center"/>
        <w:rPr>
          <w:rFonts w:eastAsiaTheme="minorHAnsi"/>
          <w:szCs w:val="28"/>
          <w:lang w:eastAsia="en-US"/>
        </w:rPr>
      </w:pPr>
      <w:proofErr w:type="gramStart"/>
      <w:r>
        <w:rPr>
          <w:szCs w:val="28"/>
        </w:rPr>
        <w:t>П</w:t>
      </w:r>
      <w:proofErr w:type="gramEnd"/>
      <w:r>
        <w:rPr>
          <w:szCs w:val="28"/>
        </w:rPr>
        <w:t xml:space="preserve"> О С Т А Н О В Л Е Н И Е</w:t>
      </w:r>
    </w:p>
    <w:p w:rsidR="0072515A" w:rsidRDefault="0072515A" w:rsidP="0072515A">
      <w:pPr>
        <w:tabs>
          <w:tab w:val="left" w:pos="3600"/>
        </w:tabs>
        <w:spacing w:after="0"/>
        <w:jc w:val="center"/>
        <w:rPr>
          <w:szCs w:val="28"/>
        </w:rPr>
      </w:pPr>
    </w:p>
    <w:p w:rsidR="0072515A" w:rsidRDefault="0072515A" w:rsidP="0072515A">
      <w:pPr>
        <w:pStyle w:val="western"/>
        <w:shd w:val="clear" w:color="auto" w:fill="FFFFFF"/>
        <w:spacing w:before="0" w:beforeAutospacing="0" w:after="0" w:afterAutospacing="0"/>
        <w:jc w:val="both"/>
        <w:rPr>
          <w:sz w:val="28"/>
          <w:szCs w:val="28"/>
        </w:rPr>
      </w:pPr>
      <w:r>
        <w:rPr>
          <w:sz w:val="28"/>
          <w:szCs w:val="28"/>
        </w:rPr>
        <w:t>От  10.01.2022                                                                   № 2</w:t>
      </w:r>
    </w:p>
    <w:p w:rsidR="0072515A" w:rsidRDefault="0072515A" w:rsidP="0072515A">
      <w:pPr>
        <w:pStyle w:val="western"/>
        <w:shd w:val="clear" w:color="auto" w:fill="FFFFFF"/>
        <w:spacing w:before="0" w:beforeAutospacing="0" w:after="0" w:afterAutospacing="0"/>
        <w:jc w:val="both"/>
        <w:rPr>
          <w:sz w:val="28"/>
          <w:szCs w:val="28"/>
        </w:rPr>
      </w:pPr>
      <w:r>
        <w:rPr>
          <w:sz w:val="28"/>
          <w:szCs w:val="28"/>
        </w:rPr>
        <w:t xml:space="preserve">                                         </w:t>
      </w:r>
      <w:proofErr w:type="spellStart"/>
      <w:r>
        <w:rPr>
          <w:sz w:val="28"/>
          <w:szCs w:val="28"/>
        </w:rPr>
        <w:t>с</w:t>
      </w:r>
      <w:proofErr w:type="gramStart"/>
      <w:r>
        <w:rPr>
          <w:sz w:val="28"/>
          <w:szCs w:val="28"/>
        </w:rPr>
        <w:t>.К</w:t>
      </w:r>
      <w:proofErr w:type="gramEnd"/>
      <w:r>
        <w:rPr>
          <w:sz w:val="28"/>
          <w:szCs w:val="28"/>
        </w:rPr>
        <w:t>аип</w:t>
      </w:r>
      <w:proofErr w:type="spellEnd"/>
    </w:p>
    <w:p w:rsidR="0072515A" w:rsidRDefault="0072515A" w:rsidP="0072515A">
      <w:pPr>
        <w:pStyle w:val="western"/>
        <w:shd w:val="clear" w:color="auto" w:fill="FFFFFF"/>
        <w:spacing w:before="0" w:beforeAutospacing="0" w:after="0" w:afterAutospacing="0"/>
        <w:jc w:val="both"/>
        <w:rPr>
          <w:sz w:val="28"/>
          <w:szCs w:val="28"/>
        </w:rPr>
      </w:pPr>
    </w:p>
    <w:p w:rsidR="0072515A" w:rsidRDefault="0072515A" w:rsidP="0072515A">
      <w:pPr>
        <w:shd w:val="clear" w:color="auto" w:fill="FFFFFF"/>
        <w:spacing w:after="0" w:line="240" w:lineRule="auto"/>
        <w:ind w:firstLine="754"/>
        <w:rPr>
          <w:szCs w:val="28"/>
        </w:rPr>
      </w:pPr>
    </w:p>
    <w:p w:rsidR="0072515A" w:rsidRDefault="0072515A" w:rsidP="0072515A">
      <w:pPr>
        <w:rPr>
          <w:b/>
        </w:rPr>
      </w:pPr>
      <w:r>
        <w:rPr>
          <w:b/>
        </w:rPr>
        <w:t xml:space="preserve">Об утверждении Положения "О конкурсном отборе проектов местных инициатив, предложенных территориальным общественным самоуправлением в 2022 году на территории </w:t>
      </w:r>
      <w:proofErr w:type="spellStart"/>
      <w:r>
        <w:rPr>
          <w:b/>
        </w:rPr>
        <w:t>Каипского</w:t>
      </w:r>
      <w:proofErr w:type="spellEnd"/>
      <w:r>
        <w:rPr>
          <w:b/>
        </w:rPr>
        <w:t xml:space="preserve"> сельсовета Ключевского района"</w:t>
      </w:r>
    </w:p>
    <w:p w:rsidR="0072515A" w:rsidRDefault="0072515A" w:rsidP="0072515A">
      <w:pPr>
        <w:pStyle w:val="western"/>
        <w:shd w:val="clear" w:color="auto" w:fill="FFFFFF"/>
        <w:spacing w:before="0" w:beforeAutospacing="0" w:after="0" w:afterAutospacing="0"/>
        <w:ind w:firstLine="567"/>
        <w:jc w:val="both"/>
        <w:rPr>
          <w:sz w:val="22"/>
          <w:szCs w:val="22"/>
        </w:rPr>
      </w:pPr>
      <w: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w:t>
      </w:r>
      <w:r>
        <w:rPr>
          <w:sz w:val="22"/>
          <w:szCs w:val="22"/>
        </w:rPr>
        <w:t xml:space="preserve">Федерации», государственной Программы Алтайского края «Создание условий для эффективного и ответственного управления региональными и муниципальными финансами» утверждённой постановлением Правительства Алтайского края №423 от 29.10.2019 года в редакции от 27.08.2021 №315 </w:t>
      </w:r>
    </w:p>
    <w:p w:rsidR="0072515A" w:rsidRDefault="0072515A" w:rsidP="0072515A"/>
    <w:p w:rsidR="0072515A" w:rsidRDefault="0072515A" w:rsidP="0072515A"/>
    <w:p w:rsidR="0072515A" w:rsidRDefault="0072515A" w:rsidP="0072515A">
      <w:pPr>
        <w:pStyle w:val="western"/>
        <w:shd w:val="clear" w:color="auto" w:fill="FFFFFF"/>
        <w:spacing w:before="0" w:beforeAutospacing="0" w:after="0" w:afterAutospacing="0"/>
        <w:ind w:firstLine="567"/>
        <w:jc w:val="both"/>
        <w:rPr>
          <w:b/>
          <w:sz w:val="28"/>
          <w:szCs w:val="28"/>
        </w:rPr>
      </w:pPr>
      <w:r>
        <w:t xml:space="preserve">                                     </w:t>
      </w:r>
      <w:r>
        <w:rPr>
          <w:b/>
          <w:sz w:val="28"/>
          <w:szCs w:val="28"/>
        </w:rPr>
        <w:t xml:space="preserve">  ПОСТАНОВЛЯЮ:</w:t>
      </w:r>
    </w:p>
    <w:p w:rsidR="0072515A" w:rsidRDefault="0072515A" w:rsidP="0072515A"/>
    <w:p w:rsidR="0072515A" w:rsidRDefault="0072515A" w:rsidP="0072515A">
      <w:pPr>
        <w:pStyle w:val="a3"/>
        <w:numPr>
          <w:ilvl w:val="0"/>
          <w:numId w:val="1"/>
        </w:numPr>
      </w:pPr>
      <w:r>
        <w:t xml:space="preserve">Утвердить Положение "О конкурсном отборе проектов местных инициатив  в 2022 году на территории </w:t>
      </w:r>
      <w:proofErr w:type="spellStart"/>
      <w:r>
        <w:t>Каипского</w:t>
      </w:r>
      <w:proofErr w:type="spellEnd"/>
      <w:r>
        <w:t xml:space="preserve"> сельсовета Ключевского района".</w:t>
      </w:r>
    </w:p>
    <w:p w:rsidR="0072515A" w:rsidRDefault="0072515A" w:rsidP="0072515A">
      <w:pPr>
        <w:pStyle w:val="a3"/>
        <w:numPr>
          <w:ilvl w:val="0"/>
          <w:numId w:val="1"/>
        </w:numPr>
        <w:rPr>
          <w:b/>
        </w:rPr>
      </w:pPr>
      <w:r>
        <w:t xml:space="preserve"> Настоящее постановление вступает в силу </w:t>
      </w:r>
      <w:proofErr w:type="gramStart"/>
      <w:r>
        <w:t>с</w:t>
      </w:r>
      <w:proofErr w:type="gramEnd"/>
      <w:r>
        <w:t xml:space="preserve"> даты его официального опубликования.</w:t>
      </w:r>
    </w:p>
    <w:p w:rsidR="0072515A" w:rsidRDefault="0072515A" w:rsidP="0072515A">
      <w:pPr>
        <w:rPr>
          <w:b/>
        </w:rPr>
      </w:pPr>
    </w:p>
    <w:p w:rsidR="0072515A" w:rsidRDefault="0072515A" w:rsidP="0072515A">
      <w:pPr>
        <w:pStyle w:val="western"/>
        <w:shd w:val="clear" w:color="auto" w:fill="FFFFFF"/>
        <w:spacing w:before="0" w:beforeAutospacing="0" w:after="0" w:afterAutospacing="0"/>
        <w:jc w:val="both"/>
        <w:rPr>
          <w:b/>
          <w:sz w:val="28"/>
          <w:szCs w:val="28"/>
        </w:rPr>
      </w:pPr>
      <w:r>
        <w:rPr>
          <w:b/>
          <w:sz w:val="28"/>
          <w:szCs w:val="28"/>
        </w:rPr>
        <w:t xml:space="preserve">Глава администрации </w:t>
      </w:r>
    </w:p>
    <w:p w:rsidR="0072515A" w:rsidRDefault="0072515A" w:rsidP="0072515A">
      <w:pPr>
        <w:pStyle w:val="western"/>
        <w:shd w:val="clear" w:color="auto" w:fill="FFFFFF"/>
        <w:spacing w:before="0" w:beforeAutospacing="0" w:after="0" w:afterAutospacing="0"/>
        <w:jc w:val="both"/>
        <w:rPr>
          <w:b/>
          <w:sz w:val="28"/>
          <w:szCs w:val="28"/>
        </w:rPr>
      </w:pPr>
      <w:proofErr w:type="spellStart"/>
      <w:r>
        <w:rPr>
          <w:b/>
          <w:sz w:val="28"/>
          <w:szCs w:val="28"/>
        </w:rPr>
        <w:t>Каипского</w:t>
      </w:r>
      <w:proofErr w:type="spellEnd"/>
      <w:r>
        <w:rPr>
          <w:b/>
          <w:sz w:val="28"/>
          <w:szCs w:val="28"/>
        </w:rPr>
        <w:t xml:space="preserve"> сельсовета                                           Л.Н.Гончаренко.</w:t>
      </w:r>
    </w:p>
    <w:p w:rsidR="0072515A" w:rsidRDefault="0072515A" w:rsidP="0072515A">
      <w:pPr>
        <w:pStyle w:val="western"/>
        <w:shd w:val="clear" w:color="auto" w:fill="FFFFFF"/>
        <w:spacing w:before="0" w:beforeAutospacing="0" w:after="0" w:afterAutospacing="0"/>
        <w:ind w:left="5670"/>
        <w:rPr>
          <w:sz w:val="20"/>
          <w:szCs w:val="20"/>
        </w:rPr>
      </w:pPr>
    </w:p>
    <w:p w:rsidR="0072515A" w:rsidRDefault="0072515A" w:rsidP="0072515A">
      <w:pPr>
        <w:rPr>
          <w:b/>
        </w:rPr>
      </w:pPr>
    </w:p>
    <w:p w:rsidR="0072515A" w:rsidRDefault="0072515A" w:rsidP="0072515A">
      <w:pPr>
        <w:rPr>
          <w:b/>
        </w:rPr>
      </w:pPr>
    </w:p>
    <w:p w:rsidR="0072515A" w:rsidRDefault="0072515A" w:rsidP="0072515A">
      <w:pPr>
        <w:rPr>
          <w:b/>
        </w:rPr>
      </w:pPr>
    </w:p>
    <w:p w:rsidR="0072515A" w:rsidRDefault="0072515A" w:rsidP="0072515A">
      <w:pPr>
        <w:rPr>
          <w:b/>
        </w:rPr>
      </w:pPr>
    </w:p>
    <w:p w:rsidR="0072515A" w:rsidRDefault="0072515A" w:rsidP="0072515A">
      <w:pPr>
        <w:rPr>
          <w:b/>
        </w:rPr>
      </w:pPr>
    </w:p>
    <w:p w:rsidR="0072515A" w:rsidRDefault="0072515A" w:rsidP="0072515A">
      <w:pPr>
        <w:rPr>
          <w:b/>
        </w:rPr>
      </w:pPr>
    </w:p>
    <w:p w:rsidR="0072515A" w:rsidRDefault="0072515A" w:rsidP="0072515A">
      <w:pPr>
        <w:rPr>
          <w:b/>
        </w:rPr>
      </w:pPr>
    </w:p>
    <w:p w:rsidR="0072515A" w:rsidRDefault="0072515A" w:rsidP="0072515A">
      <w:pPr>
        <w:rPr>
          <w:b/>
        </w:rPr>
      </w:pPr>
    </w:p>
    <w:p w:rsidR="0072515A" w:rsidRDefault="0072515A" w:rsidP="0072515A">
      <w:r>
        <w:t xml:space="preserve">                                                                                                                             Утверждено:</w:t>
      </w:r>
    </w:p>
    <w:p w:rsidR="0072515A" w:rsidRDefault="0072515A" w:rsidP="0072515A">
      <w:r>
        <w:t xml:space="preserve">                                                                                                                   постановлением администрации</w:t>
      </w:r>
    </w:p>
    <w:p w:rsidR="0072515A" w:rsidRDefault="0072515A" w:rsidP="0072515A">
      <w:r>
        <w:t xml:space="preserve">                                                                                                                   </w:t>
      </w:r>
      <w:proofErr w:type="spellStart"/>
      <w:r>
        <w:t>Каипского</w:t>
      </w:r>
      <w:proofErr w:type="spellEnd"/>
      <w:r>
        <w:t xml:space="preserve"> сельсовета  </w:t>
      </w:r>
    </w:p>
    <w:p w:rsidR="0072515A" w:rsidRDefault="0072515A" w:rsidP="0072515A">
      <w:r>
        <w:t xml:space="preserve">                                                                                                                   От10.01.2022  №2</w:t>
      </w:r>
    </w:p>
    <w:p w:rsidR="0072515A" w:rsidRDefault="0072515A" w:rsidP="0072515A">
      <w:pPr>
        <w:rPr>
          <w:b/>
          <w:sz w:val="28"/>
          <w:szCs w:val="28"/>
        </w:rPr>
      </w:pPr>
      <w:r>
        <w:rPr>
          <w:b/>
          <w:sz w:val="28"/>
          <w:szCs w:val="28"/>
        </w:rPr>
        <w:t xml:space="preserve">                                                          Положение</w:t>
      </w:r>
    </w:p>
    <w:p w:rsidR="0072515A" w:rsidRDefault="0072515A" w:rsidP="0072515A">
      <w:r>
        <w:t xml:space="preserve">"О конкурсном отборе проектов местных инициатив в 2022 году на территории </w:t>
      </w:r>
      <w:proofErr w:type="spellStart"/>
      <w:r>
        <w:t>Каипского</w:t>
      </w:r>
      <w:proofErr w:type="spellEnd"/>
      <w:r>
        <w:t xml:space="preserve"> сельсовета Ключевского района"</w:t>
      </w:r>
    </w:p>
    <w:p w:rsidR="0072515A" w:rsidRDefault="0072515A" w:rsidP="0072515A"/>
    <w:p w:rsidR="0072515A" w:rsidRDefault="0072515A" w:rsidP="0072515A">
      <w:r>
        <w:t xml:space="preserve">Настоящее Положение "О конкурсном отборе проектов местных инициатив  в 2022 году на территории </w:t>
      </w:r>
      <w:proofErr w:type="spellStart"/>
      <w:r>
        <w:t>Каипского</w:t>
      </w:r>
      <w:proofErr w:type="spellEnd"/>
      <w:r>
        <w:t xml:space="preserve"> сельсовета Ключевского  района" определяет порядок и сроки проведения конкурсного отбора проектов местных инициатив, предложенных территориальным общественным самоуправлением в целях получения субсидий из бюджета Алтайского края.</w:t>
      </w:r>
    </w:p>
    <w:p w:rsidR="0072515A" w:rsidRDefault="0072515A" w:rsidP="0072515A">
      <w:pPr>
        <w:pStyle w:val="a3"/>
        <w:numPr>
          <w:ilvl w:val="0"/>
          <w:numId w:val="2"/>
        </w:numPr>
        <w:rPr>
          <w:b/>
          <w:sz w:val="28"/>
          <w:szCs w:val="28"/>
        </w:rPr>
      </w:pPr>
      <w:r>
        <w:rPr>
          <w:b/>
          <w:sz w:val="28"/>
          <w:szCs w:val="28"/>
        </w:rPr>
        <w:t>Цели и задач</w:t>
      </w:r>
    </w:p>
    <w:p w:rsidR="0072515A" w:rsidRDefault="0072515A" w:rsidP="0072515A">
      <w:r>
        <w:t xml:space="preserve">1.1. Целью проведения Конкурса является реализация проектов местных инициатив, предложенных территориальным общественным самоуправлением по благоустройству территории территориального общественного самоуправления с целью удовлетворения социально-бытовых потребностей жителей, проживающих на соответствующей территории </w:t>
      </w:r>
      <w:proofErr w:type="spellStart"/>
      <w:r>
        <w:t>Каипского</w:t>
      </w:r>
      <w:proofErr w:type="spellEnd"/>
      <w:r>
        <w:t xml:space="preserve"> сельсовета Ключевского  района.</w:t>
      </w:r>
    </w:p>
    <w:p w:rsidR="0072515A" w:rsidRDefault="0072515A" w:rsidP="0072515A">
      <w:r>
        <w:t xml:space="preserve">1.2. </w:t>
      </w:r>
      <w:proofErr w:type="gramStart"/>
      <w:r>
        <w:t>Задачами, решаемыми при проведении Конкурса, являются: 1) привлечение организаций ТОС к работе по благоустройству территории ТОС и распространение их опыта среди организаций ТОС Алтайского края; 2) вовлечение граждан по месту жительства в процессы развития и укрепления ТОС в целях эффективного решения проблем территорий; 3) совершенствование системы взаимодействия органов местного самоуправления с организациями ТОС.</w:t>
      </w:r>
      <w:proofErr w:type="gramEnd"/>
    </w:p>
    <w:p w:rsidR="0072515A" w:rsidRDefault="0072515A" w:rsidP="0072515A">
      <w:pPr>
        <w:rPr>
          <w:b/>
          <w:sz w:val="28"/>
          <w:szCs w:val="28"/>
        </w:rPr>
      </w:pPr>
      <w:r>
        <w:rPr>
          <w:b/>
          <w:sz w:val="28"/>
          <w:szCs w:val="28"/>
        </w:rPr>
        <w:t xml:space="preserve">                            2. Организация Конкурса</w:t>
      </w:r>
    </w:p>
    <w:p w:rsidR="0072515A" w:rsidRDefault="0072515A" w:rsidP="0072515A">
      <w:r>
        <w:t xml:space="preserve">2.1. Организатором проведения Конкурса выступает администрация </w:t>
      </w:r>
      <w:proofErr w:type="spellStart"/>
      <w:r>
        <w:t>Каипского</w:t>
      </w:r>
      <w:proofErr w:type="spellEnd"/>
      <w:r>
        <w:t xml:space="preserve"> сельсовета Ключевского района (далее – Администрация). </w:t>
      </w:r>
    </w:p>
    <w:p w:rsidR="0072515A" w:rsidRDefault="0072515A" w:rsidP="0072515A">
      <w:pPr>
        <w:rPr>
          <w:b/>
          <w:sz w:val="28"/>
          <w:szCs w:val="28"/>
        </w:rPr>
      </w:pPr>
      <w:r>
        <w:t xml:space="preserve">2.2. </w:t>
      </w:r>
      <w:proofErr w:type="gramStart"/>
      <w:r>
        <w:t>Администрация: 1) публикует извещение о проведении Конкурса в информационно телекоммуникационной сети Интернет на сайте администрации Ключевского района; 2) обеспечивает работу муниципальной комиссии по проведению Конкурса проектов местных инициатив, предложенных территориальным общественным самоуправлением (далее – муниципальная комиссия); 3) распространяет информацию о Конкурсе и о его результатах через средства массовой информации и в информационно-телекоммуникационной сети Интернет;</w:t>
      </w:r>
      <w:proofErr w:type="gramEnd"/>
      <w:r>
        <w:t xml:space="preserve"> 4) организует консультирование по вопросам подготовки заявок на участие в Конкурсе; 5) организует прием, регистрацию и передачу в муниципальную комиссию представленных на отбор материалов и обеспечивает их сохранность</w:t>
      </w:r>
    </w:p>
    <w:p w:rsidR="0072515A" w:rsidRDefault="0072515A" w:rsidP="0072515A">
      <w:pPr>
        <w:rPr>
          <w:b/>
          <w:sz w:val="28"/>
          <w:szCs w:val="28"/>
        </w:rPr>
      </w:pPr>
      <w:r>
        <w:rPr>
          <w:b/>
          <w:sz w:val="28"/>
          <w:szCs w:val="28"/>
        </w:rPr>
        <w:lastRenderedPageBreak/>
        <w:t>3.Порядок формирования и работы муниципальной комиссии</w:t>
      </w:r>
    </w:p>
    <w:p w:rsidR="0072515A" w:rsidRDefault="0072515A" w:rsidP="0072515A">
      <w:r>
        <w:t>3.1. Муниципальная комиссия является постоянно действующим коллегиальным органом и работает на общественных началах.</w:t>
      </w:r>
    </w:p>
    <w:p w:rsidR="0072515A" w:rsidRDefault="0072515A" w:rsidP="0072515A">
      <w:r>
        <w:t xml:space="preserve"> 3.2. Состав муниципальной комиссии утверждается постановлением Администрации.</w:t>
      </w:r>
    </w:p>
    <w:p w:rsidR="0072515A" w:rsidRDefault="0072515A" w:rsidP="0072515A">
      <w:r>
        <w:t xml:space="preserve"> 3.3. Муниципальную комиссию возглавляет председатель. В отсутствие председателя муниципальной комиссии его обязанности исполняет заместитель председателя. </w:t>
      </w:r>
    </w:p>
    <w:p w:rsidR="0072515A" w:rsidRDefault="0072515A" w:rsidP="0072515A">
      <w:r>
        <w:t>3.4. Заседание муниципальной комиссии, считается правомочным, если на нем присутствует не менее двух третей списочного состава членов муниципальной комиссии. Решения муниципальной комиссии принимается открытым голосованием простым большинством голосов от числа присутствующих на заседаниях членов муниципальной комиссии. Каждый член муниципальной комиссии обладает одним голосом. Члены муниципальной комиссии не вправе передавать право голоса другим лицам. В случае равенства голосов право решающего голоса принадлежит председательствующему на заседании муниципальной комиссии. Решения муниципальной комиссии оформляются протоколом, который подписывают председательствующий на заседании муниципальной комиссии и секретарь муниципальной комиссии. В протоколе заседаний муниципальной комиссии указывается особое мнение ее членов (при его наличии).</w:t>
      </w:r>
    </w:p>
    <w:p w:rsidR="0072515A" w:rsidRDefault="0072515A" w:rsidP="0072515A">
      <w:r>
        <w:t xml:space="preserve"> 3.5. Муниципальная комиссия вправе проводить проверки достоверности сведений в представленных на Конкурс материалах организаций ТОС, в том числе с выездом на место, запрашивать дополнительную информацию об участниках Конкурса.</w:t>
      </w:r>
    </w:p>
    <w:p w:rsidR="0072515A" w:rsidRDefault="0072515A" w:rsidP="0072515A">
      <w:r>
        <w:t xml:space="preserve"> 3.6. При возникновении в работе муниципальной комиссии вопросов, требующих специальных знаний, муниципальная комиссия вправе приглашать на свои заседания для разъяснения таких вопросов в качестве экспертов специалистов. </w:t>
      </w:r>
    </w:p>
    <w:p w:rsidR="0072515A" w:rsidRDefault="0072515A" w:rsidP="0072515A">
      <w:r>
        <w:t>3.7. Организационно-техническое и информационное обеспечение деятельности муниципальной комиссии осуществляет Администрация.</w:t>
      </w:r>
    </w:p>
    <w:p w:rsidR="0072515A" w:rsidRDefault="0072515A" w:rsidP="0072515A">
      <w:pPr>
        <w:rPr>
          <w:b/>
          <w:sz w:val="28"/>
          <w:szCs w:val="28"/>
        </w:rPr>
      </w:pPr>
      <w:r>
        <w:rPr>
          <w:b/>
          <w:sz w:val="28"/>
          <w:szCs w:val="28"/>
        </w:rPr>
        <w:t xml:space="preserve">                    4. Условия участия организаций ТОС в Конкурсе</w:t>
      </w:r>
    </w:p>
    <w:p w:rsidR="0072515A" w:rsidRDefault="0072515A" w:rsidP="0072515A">
      <w:pPr>
        <w:rPr>
          <w:b/>
          <w:sz w:val="28"/>
          <w:szCs w:val="28"/>
        </w:rPr>
      </w:pPr>
      <w:r>
        <w:t xml:space="preserve">4.1. В Конкурсе могут принимать участие организации ТОС, зарегистрированные в администрации </w:t>
      </w:r>
      <w:proofErr w:type="spellStart"/>
      <w:r>
        <w:t>Каипского</w:t>
      </w:r>
      <w:proofErr w:type="spellEnd"/>
      <w:r>
        <w:t xml:space="preserve"> сельсовета Ключевского района и осуществляющие деятельность по благоустройству территории в соответствии с уставом сельского поселения.</w:t>
      </w:r>
    </w:p>
    <w:p w:rsidR="0072515A" w:rsidRDefault="0072515A" w:rsidP="0072515A">
      <w:pPr>
        <w:rPr>
          <w:b/>
          <w:sz w:val="28"/>
          <w:szCs w:val="28"/>
        </w:rPr>
      </w:pPr>
      <w:r>
        <w:t xml:space="preserve">           </w:t>
      </w:r>
      <w:r>
        <w:rPr>
          <w:b/>
          <w:sz w:val="28"/>
          <w:szCs w:val="28"/>
        </w:rPr>
        <w:t xml:space="preserve">            5.Порядок проведения Конкурса</w:t>
      </w:r>
    </w:p>
    <w:p w:rsidR="0072515A" w:rsidRDefault="0072515A" w:rsidP="0072515A">
      <w:r>
        <w:t>5.1. Конкурс проводится в 2 этапа</w:t>
      </w:r>
    </w:p>
    <w:p w:rsidR="0072515A" w:rsidRDefault="0072515A" w:rsidP="0072515A">
      <w:r>
        <w:t>. 5.2. На 1 этапе организации  до 15 мая 2022 г. представляют в Администрацию следующие документы: 1) заявку на участие в конкурсе по форме согласно приложению к настоящему Положению; 2)  проект благоустройства территории</w:t>
      </w:r>
      <w:proofErr w:type="gramStart"/>
      <w:r>
        <w:t xml:space="preserve"> ;</w:t>
      </w:r>
      <w:proofErr w:type="gramEnd"/>
      <w:r>
        <w:t xml:space="preserve"> 3) смету расходов на реализацию проекта благоустройства территории </w:t>
      </w:r>
    </w:p>
    <w:p w:rsidR="0072515A" w:rsidRDefault="0072515A" w:rsidP="0072515A">
      <w:r>
        <w:t xml:space="preserve"> 5.3. До 15 мая Администрация передает документы в муниципальную комиссию.</w:t>
      </w:r>
    </w:p>
    <w:p w:rsidR="0072515A" w:rsidRDefault="0072515A" w:rsidP="0072515A">
      <w:r>
        <w:lastRenderedPageBreak/>
        <w:t xml:space="preserve"> 5.4. Муниципальная комиссия до 20 мая 2022 г. рассматривает документы и принимает решение в форме протокола об утверждении победителя конкурса проектов в течение двух рабочих дней, сообщает организациям о принятом решении, а в случае отказа с указанием причины отказа.</w:t>
      </w:r>
    </w:p>
    <w:p w:rsidR="0072515A" w:rsidRDefault="0072515A" w:rsidP="0072515A">
      <w:r>
        <w:t xml:space="preserve"> 5.5. Организация</w:t>
      </w:r>
      <w:proofErr w:type="gramStart"/>
      <w:r>
        <w:t xml:space="preserve"> ,</w:t>
      </w:r>
      <w:proofErr w:type="gramEnd"/>
      <w:r>
        <w:t xml:space="preserve"> не признанная победителем, имеет право представить в муниципальную комиссию расчет (смету) на реализацию проекта в следующем году. </w:t>
      </w:r>
    </w:p>
    <w:p w:rsidR="0072515A" w:rsidRDefault="0072515A" w:rsidP="0072515A">
      <w:r>
        <w:t>5.6. Муниципальная комиссия в срок до 22 мая 2022 г. направляет документы победителей конкурса в Администрацию в целях оформления заявки на получение субсидии из краевого бюджета.</w:t>
      </w:r>
    </w:p>
    <w:p w:rsidR="0072515A" w:rsidRDefault="0072515A" w:rsidP="0072515A">
      <w:r>
        <w:t xml:space="preserve"> 5.7. Ответственность за соблюдение настоящего Положения, правильность расчетов и достоверность представляемых в Администрацию и муниципальную комиссию сведений возлагается на организации предоставляемые заявки</w:t>
      </w:r>
      <w:proofErr w:type="gramStart"/>
      <w:r>
        <w:t xml:space="preserve"> .</w:t>
      </w:r>
      <w:proofErr w:type="gramEnd"/>
      <w:r>
        <w:t xml:space="preserve"> Приложение к Положению "О конкурсном отборе проектов местных инициатив, предложенных территориальным общественным самоуправлением в 2022 году на территории </w:t>
      </w:r>
      <w:proofErr w:type="spellStart"/>
      <w:r>
        <w:t>Каипского</w:t>
      </w:r>
      <w:proofErr w:type="spellEnd"/>
      <w:r>
        <w:t xml:space="preserve"> сельсовета Ключевского района"</w:t>
      </w:r>
    </w:p>
    <w:p w:rsidR="0072515A" w:rsidRDefault="0072515A" w:rsidP="0072515A">
      <w:pPr>
        <w:rPr>
          <w:b/>
          <w:sz w:val="28"/>
          <w:szCs w:val="28"/>
        </w:rPr>
      </w:pPr>
    </w:p>
    <w:p w:rsidR="0072515A" w:rsidRDefault="0072515A" w:rsidP="0072515A">
      <w:pPr>
        <w:pStyle w:val="a3"/>
        <w:ind w:left="2370"/>
        <w:rPr>
          <w:b/>
          <w:sz w:val="28"/>
          <w:szCs w:val="28"/>
        </w:rPr>
      </w:pPr>
      <w:r>
        <w:rPr>
          <w:b/>
          <w:sz w:val="28"/>
          <w:szCs w:val="28"/>
        </w:rPr>
        <w:t xml:space="preserve">                                ЗАЯВКА </w:t>
      </w:r>
    </w:p>
    <w:p w:rsidR="0072515A" w:rsidRDefault="0072515A" w:rsidP="0072515A">
      <w:r>
        <w:t>на участие в конкурсе проектов местных инициатив, предложенных территориальным общественным самоуправлением, в целях получения субсидий из бюджета Алтайского края</w:t>
      </w:r>
    </w:p>
    <w:p w:rsidR="0072515A" w:rsidRDefault="0072515A" w:rsidP="0072515A">
      <w:r>
        <w:t>Наименование организации ___________________________________________</w:t>
      </w:r>
    </w:p>
    <w:p w:rsidR="0072515A" w:rsidRDefault="0072515A" w:rsidP="0072515A">
      <w:r>
        <w:t xml:space="preserve"> Прошу рассмотреть проект «__________________________________________» для получения субсидий из бюджета Алтайского края в 2023 году</w:t>
      </w:r>
      <w:proofErr w:type="gramStart"/>
      <w:r>
        <w:t>.</w:t>
      </w:r>
      <w:proofErr w:type="gramEnd"/>
      <w:r>
        <w:t xml:space="preserve"> ________________________________________________________________ (</w:t>
      </w:r>
      <w:proofErr w:type="gramStart"/>
      <w:r>
        <w:t>н</w:t>
      </w:r>
      <w:proofErr w:type="gramEnd"/>
      <w:r>
        <w:t>аименование ТОС)</w:t>
      </w:r>
    </w:p>
    <w:p w:rsidR="0072515A" w:rsidRDefault="0072515A" w:rsidP="0072515A">
      <w:r>
        <w:t xml:space="preserve"> Почтовый адрес _____________________________________________________ </w:t>
      </w:r>
    </w:p>
    <w:p w:rsidR="0072515A" w:rsidRDefault="0072515A" w:rsidP="0072515A">
      <w:r>
        <w:t xml:space="preserve">Контактный телефон ________________________________________ </w:t>
      </w:r>
    </w:p>
    <w:p w:rsidR="0072515A" w:rsidRDefault="0072515A" w:rsidP="0072515A">
      <w:r>
        <w:t>Председатель совета ТОС _____________________________________________ (фамилия, имя, отчество)</w:t>
      </w:r>
    </w:p>
    <w:p w:rsidR="0072515A" w:rsidRDefault="0072515A" w:rsidP="0072515A">
      <w:r>
        <w:t xml:space="preserve"> ________________________________________ (подпись) (инициалы, фамилия)</w:t>
      </w:r>
    </w:p>
    <w:p w:rsidR="0072515A" w:rsidRDefault="0072515A" w:rsidP="0072515A">
      <w:r>
        <w:t xml:space="preserve"> «___» ____________ 2022 г</w:t>
      </w:r>
    </w:p>
    <w:p w:rsidR="0072515A" w:rsidRDefault="0072515A" w:rsidP="0072515A"/>
    <w:p w:rsidR="0072515A" w:rsidRDefault="0072515A" w:rsidP="0072515A"/>
    <w:p w:rsidR="0072515A" w:rsidRDefault="0072515A" w:rsidP="0072515A"/>
    <w:p w:rsidR="0072515A" w:rsidRDefault="0072515A" w:rsidP="0072515A"/>
    <w:p w:rsidR="0072515A" w:rsidRDefault="0072515A" w:rsidP="0072515A"/>
    <w:p w:rsidR="0072515A" w:rsidRDefault="0072515A" w:rsidP="0072515A"/>
    <w:p w:rsidR="0072515A" w:rsidRDefault="0072515A" w:rsidP="0072515A">
      <w:pPr>
        <w:rPr>
          <w:rFonts w:cs="Times New Roman"/>
          <w:b/>
          <w:bCs/>
          <w:sz w:val="28"/>
          <w:szCs w:val="28"/>
        </w:rPr>
      </w:pPr>
      <w:r>
        <w:lastRenderedPageBreak/>
        <w:t xml:space="preserve">                                                                          </w:t>
      </w:r>
      <w:r>
        <w:rPr>
          <w:rFonts w:cs="Times New Roman"/>
          <w:b/>
          <w:bCs/>
          <w:sz w:val="28"/>
          <w:szCs w:val="28"/>
        </w:rPr>
        <w:t>КРИТЕРИИ</w:t>
      </w:r>
    </w:p>
    <w:p w:rsidR="0072515A" w:rsidRDefault="0072515A" w:rsidP="0072515A">
      <w:pPr>
        <w:jc w:val="center"/>
        <w:rPr>
          <w:rFonts w:cs="Times New Roman"/>
          <w:b/>
          <w:bCs/>
          <w:sz w:val="28"/>
          <w:szCs w:val="28"/>
        </w:rPr>
      </w:pPr>
      <w:r>
        <w:rPr>
          <w:rFonts w:cs="Times New Roman"/>
          <w:b/>
          <w:bCs/>
          <w:sz w:val="28"/>
          <w:szCs w:val="28"/>
        </w:rPr>
        <w:t>оценки общественно значимых муниципальных проектов</w:t>
      </w:r>
    </w:p>
    <w:p w:rsidR="0072515A" w:rsidRDefault="0072515A" w:rsidP="0072515A">
      <w:pPr>
        <w:jc w:val="center"/>
        <w:rPr>
          <w:rFonts w:cs="Times New Roman"/>
          <w:b/>
          <w:bCs/>
          <w:sz w:val="28"/>
          <w:szCs w:val="28"/>
        </w:rPr>
      </w:pPr>
    </w:p>
    <w:tbl>
      <w:tblPr>
        <w:tblW w:w="9488" w:type="dxa"/>
        <w:tblInd w:w="20" w:type="dxa"/>
        <w:tblCellMar>
          <w:left w:w="0" w:type="dxa"/>
          <w:right w:w="0" w:type="dxa"/>
        </w:tblCellMar>
        <w:tblLook w:val="04A0"/>
      </w:tblPr>
      <w:tblGrid>
        <w:gridCol w:w="557"/>
        <w:gridCol w:w="8931"/>
      </w:tblGrid>
      <w:tr w:rsidR="0072515A" w:rsidTr="004A2F7F">
        <w:tc>
          <w:tcPr>
            <w:tcW w:w="557" w:type="dxa"/>
            <w:tcBorders>
              <w:top w:val="single" w:sz="8" w:space="0" w:color="000000"/>
              <w:left w:val="single" w:sz="8" w:space="0" w:color="000000"/>
              <w:bottom w:val="single" w:sz="8" w:space="0" w:color="000000"/>
              <w:right w:val="single" w:sz="8" w:space="0" w:color="000000"/>
            </w:tcBorders>
            <w:vAlign w:val="center"/>
            <w:hideMark/>
          </w:tcPr>
          <w:p w:rsidR="0072515A" w:rsidRDefault="0072515A" w:rsidP="004A2F7F">
            <w:pPr>
              <w:jc w:val="center"/>
              <w:rPr>
                <w:rFonts w:ascii="Verdana" w:hAnsi="Verdana" w:cs="Times New Roman"/>
                <w:b/>
                <w:sz w:val="21"/>
                <w:szCs w:val="21"/>
              </w:rPr>
            </w:pPr>
            <w:r>
              <w:rPr>
                <w:rFonts w:cs="Times New Roman"/>
                <w:b/>
                <w:sz w:val="24"/>
                <w:szCs w:val="24"/>
              </w:rPr>
              <w:t>N</w:t>
            </w:r>
          </w:p>
          <w:p w:rsidR="0072515A" w:rsidRDefault="0072515A" w:rsidP="004A2F7F">
            <w:pPr>
              <w:jc w:val="center"/>
              <w:rPr>
                <w:rFonts w:ascii="Verdana" w:hAnsi="Verdana" w:cs="Times New Roman"/>
                <w:b/>
                <w:sz w:val="21"/>
                <w:szCs w:val="21"/>
              </w:rPr>
            </w:pPr>
            <w:proofErr w:type="spellStart"/>
            <w:proofErr w:type="gramStart"/>
            <w:r>
              <w:rPr>
                <w:rFonts w:cs="Times New Roman"/>
                <w:b/>
                <w:sz w:val="24"/>
                <w:szCs w:val="24"/>
              </w:rPr>
              <w:t>п</w:t>
            </w:r>
            <w:proofErr w:type="spellEnd"/>
            <w:proofErr w:type="gramEnd"/>
            <w:r>
              <w:rPr>
                <w:rFonts w:cs="Times New Roman"/>
                <w:b/>
                <w:sz w:val="24"/>
                <w:szCs w:val="24"/>
              </w:rPr>
              <w:t>/</w:t>
            </w:r>
            <w:proofErr w:type="spellStart"/>
            <w:r>
              <w:rPr>
                <w:rFonts w:cs="Times New Roman"/>
                <w:b/>
                <w:sz w:val="24"/>
                <w:szCs w:val="24"/>
              </w:rPr>
              <w:t>п</w:t>
            </w:r>
            <w:proofErr w:type="spellEnd"/>
          </w:p>
        </w:tc>
        <w:tc>
          <w:tcPr>
            <w:tcW w:w="8931" w:type="dxa"/>
            <w:tcBorders>
              <w:top w:val="single" w:sz="8" w:space="0" w:color="000000"/>
              <w:left w:val="single" w:sz="8" w:space="0" w:color="000000"/>
              <w:bottom w:val="single" w:sz="8" w:space="0" w:color="000000"/>
              <w:right w:val="single" w:sz="8" w:space="0" w:color="000000"/>
            </w:tcBorders>
            <w:vAlign w:val="center"/>
            <w:hideMark/>
          </w:tcPr>
          <w:p w:rsidR="0072515A" w:rsidRDefault="0072515A" w:rsidP="004A2F7F">
            <w:pPr>
              <w:jc w:val="center"/>
              <w:rPr>
                <w:rFonts w:ascii="Verdana" w:hAnsi="Verdana" w:cs="Times New Roman"/>
                <w:b/>
                <w:sz w:val="21"/>
                <w:szCs w:val="21"/>
              </w:rPr>
            </w:pPr>
            <w:r>
              <w:rPr>
                <w:rFonts w:cs="Times New Roman"/>
                <w:b/>
                <w:sz w:val="24"/>
                <w:szCs w:val="24"/>
              </w:rPr>
              <w:t>Критерий</w:t>
            </w:r>
          </w:p>
        </w:tc>
      </w:tr>
      <w:tr w:rsidR="0072515A" w:rsidTr="004A2F7F">
        <w:tc>
          <w:tcPr>
            <w:tcW w:w="557"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jc w:val="center"/>
              <w:rPr>
                <w:rFonts w:ascii="Verdana" w:hAnsi="Verdana" w:cs="Times New Roman"/>
                <w:sz w:val="21"/>
                <w:szCs w:val="21"/>
              </w:rPr>
            </w:pPr>
            <w:r>
              <w:rPr>
                <w:rFonts w:cs="Times New Roman"/>
                <w:sz w:val="24"/>
                <w:szCs w:val="24"/>
              </w:rPr>
              <w:t>1.</w:t>
            </w:r>
          </w:p>
        </w:tc>
        <w:tc>
          <w:tcPr>
            <w:tcW w:w="8931"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ind w:left="170"/>
              <w:rPr>
                <w:rFonts w:ascii="Verdana" w:hAnsi="Verdana" w:cs="Times New Roman"/>
                <w:sz w:val="21"/>
                <w:szCs w:val="21"/>
              </w:rPr>
            </w:pPr>
            <w:r>
              <w:rPr>
                <w:rFonts w:cs="Times New Roman"/>
                <w:sz w:val="24"/>
                <w:szCs w:val="24"/>
              </w:rPr>
              <w:t xml:space="preserve">Доля </w:t>
            </w:r>
            <w:proofErr w:type="spellStart"/>
            <w:r>
              <w:rPr>
                <w:rFonts w:cs="Times New Roman"/>
                <w:sz w:val="24"/>
                <w:szCs w:val="24"/>
              </w:rPr>
              <w:t>софинансирования</w:t>
            </w:r>
            <w:proofErr w:type="spellEnd"/>
            <w:r>
              <w:rPr>
                <w:rFonts w:cs="Times New Roman"/>
                <w:sz w:val="24"/>
                <w:szCs w:val="24"/>
              </w:rPr>
              <w:t xml:space="preserve"> проекта за счет добровольных пожертвований юридических лиц и (или) индивидуальных предпринимателей:</w:t>
            </w:r>
          </w:p>
          <w:p w:rsidR="0072515A" w:rsidRDefault="0072515A" w:rsidP="004A2F7F">
            <w:pPr>
              <w:ind w:left="170"/>
              <w:rPr>
                <w:rFonts w:ascii="Verdana" w:hAnsi="Verdana" w:cs="Times New Roman"/>
                <w:sz w:val="21"/>
                <w:szCs w:val="21"/>
              </w:rPr>
            </w:pPr>
            <w:r>
              <w:rPr>
                <w:rFonts w:cs="Times New Roman"/>
                <w:sz w:val="24"/>
                <w:szCs w:val="24"/>
              </w:rPr>
              <w:t>до 7% включительно - 1 балл;</w:t>
            </w:r>
          </w:p>
          <w:p w:rsidR="0072515A" w:rsidRDefault="0072515A" w:rsidP="004A2F7F">
            <w:pPr>
              <w:ind w:left="170"/>
              <w:rPr>
                <w:rFonts w:ascii="Verdana" w:hAnsi="Verdana" w:cs="Times New Roman"/>
                <w:sz w:val="21"/>
                <w:szCs w:val="21"/>
              </w:rPr>
            </w:pPr>
            <w:r>
              <w:rPr>
                <w:rFonts w:cs="Times New Roman"/>
                <w:sz w:val="24"/>
                <w:szCs w:val="24"/>
              </w:rPr>
              <w:t>более 7% до 15% включительно - 3 балла;</w:t>
            </w:r>
          </w:p>
          <w:p w:rsidR="0072515A" w:rsidRDefault="0072515A" w:rsidP="004A2F7F">
            <w:pPr>
              <w:ind w:left="170"/>
              <w:rPr>
                <w:rFonts w:ascii="Verdana" w:hAnsi="Verdana" w:cs="Times New Roman"/>
                <w:sz w:val="21"/>
                <w:szCs w:val="21"/>
              </w:rPr>
            </w:pPr>
            <w:r>
              <w:rPr>
                <w:rFonts w:cs="Times New Roman"/>
                <w:sz w:val="24"/>
                <w:szCs w:val="24"/>
              </w:rPr>
              <w:t>более 15% до 20% включительно - 5 баллов;</w:t>
            </w:r>
          </w:p>
          <w:p w:rsidR="0072515A" w:rsidRDefault="0072515A" w:rsidP="004A2F7F">
            <w:pPr>
              <w:ind w:left="170"/>
              <w:rPr>
                <w:rFonts w:ascii="Verdana" w:hAnsi="Verdana" w:cs="Times New Roman"/>
                <w:sz w:val="21"/>
                <w:szCs w:val="21"/>
              </w:rPr>
            </w:pPr>
            <w:r>
              <w:rPr>
                <w:rFonts w:cs="Times New Roman"/>
                <w:sz w:val="24"/>
                <w:szCs w:val="24"/>
              </w:rPr>
              <w:t>более 20% до 25% включительно - 7 баллов;</w:t>
            </w:r>
          </w:p>
          <w:p w:rsidR="0072515A" w:rsidRDefault="0072515A" w:rsidP="004A2F7F">
            <w:pPr>
              <w:ind w:left="170"/>
              <w:rPr>
                <w:rFonts w:ascii="Verdana" w:hAnsi="Verdana" w:cs="Times New Roman"/>
                <w:sz w:val="21"/>
                <w:szCs w:val="21"/>
              </w:rPr>
            </w:pPr>
            <w:r>
              <w:rPr>
                <w:rFonts w:cs="Times New Roman"/>
                <w:sz w:val="24"/>
                <w:szCs w:val="24"/>
              </w:rPr>
              <w:t>более 25% до 30% включительно - 9 баллов;</w:t>
            </w:r>
          </w:p>
          <w:p w:rsidR="0072515A" w:rsidRDefault="0072515A" w:rsidP="004A2F7F">
            <w:pPr>
              <w:ind w:left="170"/>
              <w:rPr>
                <w:rFonts w:ascii="Verdana" w:hAnsi="Verdana" w:cs="Times New Roman"/>
                <w:sz w:val="21"/>
                <w:szCs w:val="21"/>
              </w:rPr>
            </w:pPr>
            <w:r>
              <w:rPr>
                <w:rFonts w:cs="Times New Roman"/>
                <w:sz w:val="24"/>
                <w:szCs w:val="24"/>
              </w:rPr>
              <w:t>более 30% до 35% включительно - 11 баллов;</w:t>
            </w:r>
          </w:p>
          <w:p w:rsidR="0072515A" w:rsidRDefault="0072515A" w:rsidP="004A2F7F">
            <w:pPr>
              <w:ind w:left="170"/>
              <w:rPr>
                <w:rFonts w:ascii="Verdana" w:hAnsi="Verdana" w:cs="Times New Roman"/>
                <w:sz w:val="21"/>
                <w:szCs w:val="21"/>
              </w:rPr>
            </w:pPr>
            <w:r>
              <w:rPr>
                <w:rFonts w:cs="Times New Roman"/>
                <w:sz w:val="24"/>
                <w:szCs w:val="24"/>
              </w:rPr>
              <w:t>более 35% до 40% включительно - 13 баллов;</w:t>
            </w:r>
          </w:p>
          <w:p w:rsidR="0072515A" w:rsidRDefault="0072515A" w:rsidP="004A2F7F">
            <w:pPr>
              <w:ind w:left="170"/>
              <w:rPr>
                <w:rFonts w:ascii="Verdana" w:hAnsi="Verdana" w:cs="Times New Roman"/>
                <w:sz w:val="21"/>
                <w:szCs w:val="21"/>
              </w:rPr>
            </w:pPr>
            <w:r>
              <w:rPr>
                <w:rFonts w:cs="Times New Roman"/>
                <w:sz w:val="24"/>
                <w:szCs w:val="24"/>
              </w:rPr>
              <w:t>более 40% - 15 баллов</w:t>
            </w:r>
          </w:p>
        </w:tc>
      </w:tr>
      <w:tr w:rsidR="0072515A" w:rsidTr="004A2F7F">
        <w:tc>
          <w:tcPr>
            <w:tcW w:w="557"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jc w:val="center"/>
              <w:rPr>
                <w:rFonts w:ascii="Verdana" w:hAnsi="Verdana" w:cs="Times New Roman"/>
                <w:sz w:val="21"/>
                <w:szCs w:val="21"/>
              </w:rPr>
            </w:pPr>
            <w:r>
              <w:rPr>
                <w:rFonts w:cs="Times New Roman"/>
                <w:sz w:val="24"/>
                <w:szCs w:val="24"/>
              </w:rPr>
              <w:t>2.</w:t>
            </w:r>
          </w:p>
        </w:tc>
        <w:tc>
          <w:tcPr>
            <w:tcW w:w="8931"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ind w:left="170"/>
              <w:rPr>
                <w:rFonts w:ascii="Verdana" w:hAnsi="Verdana" w:cs="Times New Roman"/>
                <w:sz w:val="21"/>
                <w:szCs w:val="21"/>
              </w:rPr>
            </w:pPr>
            <w:r>
              <w:rPr>
                <w:rFonts w:cs="Times New Roman"/>
                <w:sz w:val="24"/>
                <w:szCs w:val="24"/>
              </w:rPr>
              <w:t xml:space="preserve">Доля </w:t>
            </w:r>
            <w:proofErr w:type="spellStart"/>
            <w:r>
              <w:rPr>
                <w:rFonts w:cs="Times New Roman"/>
                <w:sz w:val="24"/>
                <w:szCs w:val="24"/>
              </w:rPr>
              <w:t>софинансирования</w:t>
            </w:r>
            <w:proofErr w:type="spellEnd"/>
            <w:r>
              <w:rPr>
                <w:rFonts w:cs="Times New Roman"/>
                <w:sz w:val="24"/>
                <w:szCs w:val="24"/>
              </w:rPr>
              <w:t xml:space="preserve"> проекта за счет добровольных пожертвований физических лиц:</w:t>
            </w:r>
          </w:p>
          <w:p w:rsidR="0072515A" w:rsidRDefault="0072515A" w:rsidP="004A2F7F">
            <w:pPr>
              <w:ind w:left="170"/>
              <w:rPr>
                <w:rFonts w:ascii="Verdana" w:hAnsi="Verdana" w:cs="Times New Roman"/>
                <w:sz w:val="21"/>
                <w:szCs w:val="21"/>
              </w:rPr>
            </w:pPr>
            <w:r>
              <w:rPr>
                <w:rFonts w:cs="Times New Roman"/>
                <w:sz w:val="24"/>
                <w:szCs w:val="24"/>
              </w:rPr>
              <w:t>до 5% включительно - 0 баллов;</w:t>
            </w:r>
          </w:p>
          <w:p w:rsidR="0072515A" w:rsidRDefault="0072515A" w:rsidP="004A2F7F">
            <w:pPr>
              <w:ind w:left="170"/>
              <w:rPr>
                <w:rFonts w:ascii="Verdana" w:hAnsi="Verdana" w:cs="Times New Roman"/>
                <w:sz w:val="21"/>
                <w:szCs w:val="21"/>
              </w:rPr>
            </w:pPr>
            <w:r>
              <w:rPr>
                <w:rFonts w:cs="Times New Roman"/>
                <w:sz w:val="24"/>
                <w:szCs w:val="24"/>
              </w:rPr>
              <w:t>более 5% до 8% включительно - 3 балла;</w:t>
            </w:r>
          </w:p>
          <w:p w:rsidR="0072515A" w:rsidRDefault="0072515A" w:rsidP="004A2F7F">
            <w:pPr>
              <w:ind w:left="170"/>
              <w:rPr>
                <w:rFonts w:ascii="Verdana" w:hAnsi="Verdana" w:cs="Times New Roman"/>
                <w:sz w:val="21"/>
                <w:szCs w:val="21"/>
              </w:rPr>
            </w:pPr>
            <w:r>
              <w:rPr>
                <w:rFonts w:cs="Times New Roman"/>
                <w:sz w:val="24"/>
                <w:szCs w:val="24"/>
              </w:rPr>
              <w:t>более 8% до 11% включительно - 5 баллов;</w:t>
            </w:r>
          </w:p>
          <w:p w:rsidR="0072515A" w:rsidRDefault="0072515A" w:rsidP="004A2F7F">
            <w:pPr>
              <w:ind w:left="170"/>
              <w:rPr>
                <w:rFonts w:ascii="Verdana" w:hAnsi="Verdana" w:cs="Times New Roman"/>
                <w:sz w:val="21"/>
                <w:szCs w:val="21"/>
              </w:rPr>
            </w:pPr>
            <w:r>
              <w:rPr>
                <w:rFonts w:cs="Times New Roman"/>
                <w:sz w:val="24"/>
                <w:szCs w:val="24"/>
              </w:rPr>
              <w:t>более 11% до 14% включительно - 7 баллов;</w:t>
            </w:r>
          </w:p>
          <w:p w:rsidR="0072515A" w:rsidRDefault="0072515A" w:rsidP="004A2F7F">
            <w:pPr>
              <w:ind w:left="170"/>
              <w:rPr>
                <w:rFonts w:ascii="Verdana" w:hAnsi="Verdana" w:cs="Times New Roman"/>
                <w:sz w:val="21"/>
                <w:szCs w:val="21"/>
              </w:rPr>
            </w:pPr>
            <w:r>
              <w:rPr>
                <w:rFonts w:cs="Times New Roman"/>
                <w:sz w:val="24"/>
                <w:szCs w:val="24"/>
              </w:rPr>
              <w:t>более 14% до 16% включительно - 9 баллов;</w:t>
            </w:r>
          </w:p>
          <w:p w:rsidR="0072515A" w:rsidRDefault="0072515A" w:rsidP="004A2F7F">
            <w:pPr>
              <w:ind w:left="170"/>
              <w:rPr>
                <w:rFonts w:ascii="Verdana" w:hAnsi="Verdana" w:cs="Times New Roman"/>
                <w:sz w:val="21"/>
                <w:szCs w:val="21"/>
              </w:rPr>
            </w:pPr>
            <w:r>
              <w:rPr>
                <w:rFonts w:cs="Times New Roman"/>
                <w:sz w:val="24"/>
                <w:szCs w:val="24"/>
              </w:rPr>
              <w:t>более 16% до 18% включительно - 11 баллов;</w:t>
            </w:r>
          </w:p>
          <w:p w:rsidR="0072515A" w:rsidRDefault="0072515A" w:rsidP="004A2F7F">
            <w:pPr>
              <w:ind w:left="170"/>
              <w:rPr>
                <w:rFonts w:ascii="Verdana" w:hAnsi="Verdana" w:cs="Times New Roman"/>
                <w:sz w:val="21"/>
                <w:szCs w:val="21"/>
              </w:rPr>
            </w:pPr>
            <w:r>
              <w:rPr>
                <w:rFonts w:cs="Times New Roman"/>
                <w:sz w:val="24"/>
                <w:szCs w:val="24"/>
              </w:rPr>
              <w:t>более 18% до 20% включительно - 13 баллов;</w:t>
            </w:r>
          </w:p>
          <w:p w:rsidR="0072515A" w:rsidRDefault="0072515A" w:rsidP="004A2F7F">
            <w:pPr>
              <w:ind w:left="170"/>
              <w:rPr>
                <w:rFonts w:ascii="Verdana" w:hAnsi="Verdana" w:cs="Times New Roman"/>
                <w:sz w:val="21"/>
                <w:szCs w:val="21"/>
              </w:rPr>
            </w:pPr>
            <w:r>
              <w:rPr>
                <w:rFonts w:cs="Times New Roman"/>
                <w:sz w:val="24"/>
                <w:szCs w:val="24"/>
              </w:rPr>
              <w:t>более 20% - 15 баллов</w:t>
            </w:r>
          </w:p>
        </w:tc>
      </w:tr>
      <w:tr w:rsidR="0072515A" w:rsidTr="004A2F7F">
        <w:tc>
          <w:tcPr>
            <w:tcW w:w="557"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jc w:val="center"/>
              <w:rPr>
                <w:rFonts w:ascii="Verdana" w:hAnsi="Verdana" w:cs="Times New Roman"/>
                <w:sz w:val="21"/>
                <w:szCs w:val="21"/>
              </w:rPr>
            </w:pPr>
            <w:r>
              <w:rPr>
                <w:rFonts w:cs="Times New Roman"/>
                <w:sz w:val="24"/>
                <w:szCs w:val="24"/>
              </w:rPr>
              <w:t>3.</w:t>
            </w:r>
          </w:p>
        </w:tc>
        <w:tc>
          <w:tcPr>
            <w:tcW w:w="8931"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ind w:left="170"/>
              <w:rPr>
                <w:rFonts w:ascii="Verdana" w:hAnsi="Verdana" w:cs="Times New Roman"/>
                <w:sz w:val="21"/>
                <w:szCs w:val="21"/>
              </w:rPr>
            </w:pPr>
            <w:r>
              <w:rPr>
                <w:rFonts w:cs="Times New Roman"/>
                <w:sz w:val="24"/>
                <w:szCs w:val="24"/>
              </w:rPr>
              <w:t>Степень социальной значимости проекта:</w:t>
            </w:r>
          </w:p>
          <w:p w:rsidR="0072515A" w:rsidRDefault="0072515A" w:rsidP="004A2F7F">
            <w:pPr>
              <w:ind w:left="170"/>
              <w:rPr>
                <w:rFonts w:ascii="Verdana" w:hAnsi="Verdana" w:cs="Times New Roman"/>
                <w:sz w:val="21"/>
                <w:szCs w:val="21"/>
              </w:rPr>
            </w:pPr>
            <w:r>
              <w:rPr>
                <w:rFonts w:cs="Times New Roman"/>
                <w:sz w:val="24"/>
                <w:szCs w:val="24"/>
              </w:rPr>
              <w:t xml:space="preserve">проект не решает социально значимую проблему и не способствует решению </w:t>
            </w:r>
            <w:r>
              <w:rPr>
                <w:rFonts w:cs="Times New Roman"/>
                <w:sz w:val="24"/>
                <w:szCs w:val="24"/>
              </w:rPr>
              <w:lastRenderedPageBreak/>
              <w:t>социально значимой проблемы - 0 баллов;</w:t>
            </w:r>
          </w:p>
          <w:p w:rsidR="0072515A" w:rsidRDefault="0072515A" w:rsidP="004A2F7F">
            <w:pPr>
              <w:ind w:left="170"/>
              <w:rPr>
                <w:rFonts w:ascii="Verdana" w:hAnsi="Verdana" w:cs="Times New Roman"/>
                <w:sz w:val="21"/>
                <w:szCs w:val="21"/>
              </w:rPr>
            </w:pPr>
            <w:r>
              <w:rPr>
                <w:rFonts w:cs="Times New Roman"/>
                <w:sz w:val="24"/>
                <w:szCs w:val="24"/>
              </w:rPr>
              <w:t>проект способствует решению социально значимой проблемы (результаты реализации общественно значимого проекта создают условия для дальнейшего решения социально значимой проблемы, на устранение которой направлен проект) - 1 балл;</w:t>
            </w:r>
          </w:p>
          <w:p w:rsidR="0072515A" w:rsidRDefault="0072515A" w:rsidP="004A2F7F">
            <w:pPr>
              <w:ind w:left="170"/>
              <w:rPr>
                <w:rFonts w:ascii="Verdana" w:hAnsi="Verdana" w:cs="Times New Roman"/>
                <w:sz w:val="21"/>
                <w:szCs w:val="21"/>
              </w:rPr>
            </w:pPr>
            <w:r>
              <w:rPr>
                <w:rFonts w:cs="Times New Roman"/>
                <w:sz w:val="24"/>
                <w:szCs w:val="24"/>
              </w:rPr>
              <w:t>проект способствует решению нескольких социально значимых проблем - 3 балла;</w:t>
            </w:r>
          </w:p>
          <w:p w:rsidR="0072515A" w:rsidRDefault="0072515A" w:rsidP="004A2F7F">
            <w:pPr>
              <w:ind w:left="170"/>
              <w:rPr>
                <w:rFonts w:ascii="Verdana" w:hAnsi="Verdana" w:cs="Times New Roman"/>
                <w:sz w:val="21"/>
                <w:szCs w:val="21"/>
              </w:rPr>
            </w:pPr>
            <w:r>
              <w:rPr>
                <w:rFonts w:cs="Times New Roman"/>
                <w:sz w:val="24"/>
                <w:szCs w:val="24"/>
              </w:rPr>
              <w:t>проект решает социально значимую проблему (результаты реализации общественно значимого проекта полностью решают социально значимую проблему, на устранение которой направлен проект) - 5 баллов;</w:t>
            </w:r>
          </w:p>
          <w:p w:rsidR="0072515A" w:rsidRDefault="0072515A" w:rsidP="004A2F7F">
            <w:pPr>
              <w:ind w:left="170"/>
              <w:rPr>
                <w:rFonts w:ascii="Verdana" w:hAnsi="Verdana" w:cs="Times New Roman"/>
                <w:sz w:val="21"/>
                <w:szCs w:val="21"/>
              </w:rPr>
            </w:pPr>
            <w:r>
              <w:rPr>
                <w:rFonts w:cs="Times New Roman"/>
                <w:sz w:val="24"/>
                <w:szCs w:val="24"/>
              </w:rPr>
              <w:t>проект решает несколько социально значимых проблем - 7 баллов</w:t>
            </w:r>
          </w:p>
        </w:tc>
      </w:tr>
      <w:tr w:rsidR="0072515A" w:rsidTr="004A2F7F">
        <w:tc>
          <w:tcPr>
            <w:tcW w:w="557"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jc w:val="center"/>
              <w:rPr>
                <w:rFonts w:ascii="Verdana" w:hAnsi="Verdana" w:cs="Times New Roman"/>
                <w:sz w:val="21"/>
                <w:szCs w:val="21"/>
              </w:rPr>
            </w:pPr>
            <w:r>
              <w:rPr>
                <w:rFonts w:cs="Times New Roman"/>
                <w:sz w:val="24"/>
                <w:szCs w:val="24"/>
              </w:rPr>
              <w:lastRenderedPageBreak/>
              <w:t>4.</w:t>
            </w:r>
          </w:p>
        </w:tc>
        <w:tc>
          <w:tcPr>
            <w:tcW w:w="8931"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ind w:left="170"/>
              <w:rPr>
                <w:rFonts w:ascii="Verdana" w:hAnsi="Verdana" w:cs="Times New Roman"/>
                <w:sz w:val="21"/>
                <w:szCs w:val="21"/>
              </w:rPr>
            </w:pPr>
            <w:r>
              <w:rPr>
                <w:rFonts w:cs="Times New Roman"/>
                <w:sz w:val="24"/>
                <w:szCs w:val="24"/>
              </w:rPr>
              <w:t>Доля участников собрания, проголосовавших за реализацию проекта, согласно протоколу или иному итоговому документу собрания граждан, % от численности населения поселения:</w:t>
            </w:r>
          </w:p>
          <w:p w:rsidR="0072515A" w:rsidRDefault="0072515A" w:rsidP="004A2F7F">
            <w:pPr>
              <w:ind w:left="170"/>
              <w:rPr>
                <w:rFonts w:ascii="Verdana" w:hAnsi="Verdana" w:cs="Times New Roman"/>
                <w:sz w:val="21"/>
                <w:szCs w:val="21"/>
              </w:rPr>
            </w:pPr>
            <w:r>
              <w:rPr>
                <w:rFonts w:cs="Times New Roman"/>
                <w:sz w:val="24"/>
                <w:szCs w:val="24"/>
              </w:rPr>
              <w:t>до 3% включительно - 0 баллов;</w:t>
            </w:r>
          </w:p>
          <w:p w:rsidR="0072515A" w:rsidRDefault="0072515A" w:rsidP="004A2F7F">
            <w:pPr>
              <w:ind w:left="170"/>
              <w:rPr>
                <w:rFonts w:ascii="Verdana" w:hAnsi="Verdana" w:cs="Times New Roman"/>
                <w:sz w:val="21"/>
                <w:szCs w:val="21"/>
              </w:rPr>
            </w:pPr>
            <w:r>
              <w:rPr>
                <w:rFonts w:cs="Times New Roman"/>
                <w:sz w:val="24"/>
                <w:szCs w:val="24"/>
              </w:rPr>
              <w:t>более 3% до 6% включительно - 3 балла;</w:t>
            </w:r>
          </w:p>
          <w:p w:rsidR="0072515A" w:rsidRDefault="0072515A" w:rsidP="004A2F7F">
            <w:pPr>
              <w:ind w:left="170"/>
              <w:rPr>
                <w:rFonts w:ascii="Verdana" w:hAnsi="Verdana" w:cs="Times New Roman"/>
                <w:sz w:val="21"/>
                <w:szCs w:val="21"/>
              </w:rPr>
            </w:pPr>
            <w:r>
              <w:rPr>
                <w:rFonts w:cs="Times New Roman"/>
                <w:sz w:val="24"/>
                <w:szCs w:val="24"/>
              </w:rPr>
              <w:t>более 6% до 10% включительно - 6 баллов;</w:t>
            </w:r>
          </w:p>
          <w:p w:rsidR="0072515A" w:rsidRDefault="0072515A" w:rsidP="004A2F7F">
            <w:pPr>
              <w:ind w:left="170"/>
              <w:rPr>
                <w:rFonts w:ascii="Verdana" w:hAnsi="Verdana" w:cs="Times New Roman"/>
                <w:sz w:val="21"/>
                <w:szCs w:val="21"/>
              </w:rPr>
            </w:pPr>
            <w:r>
              <w:rPr>
                <w:rFonts w:cs="Times New Roman"/>
                <w:sz w:val="24"/>
                <w:szCs w:val="24"/>
              </w:rPr>
              <w:t>более 10% - 10 баллов</w:t>
            </w:r>
          </w:p>
        </w:tc>
      </w:tr>
      <w:tr w:rsidR="0072515A" w:rsidTr="004A2F7F">
        <w:tc>
          <w:tcPr>
            <w:tcW w:w="557"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jc w:val="center"/>
              <w:rPr>
                <w:rFonts w:ascii="Verdana" w:hAnsi="Verdana" w:cs="Times New Roman"/>
                <w:sz w:val="21"/>
                <w:szCs w:val="21"/>
              </w:rPr>
            </w:pPr>
            <w:r>
              <w:rPr>
                <w:rFonts w:cs="Times New Roman"/>
                <w:sz w:val="24"/>
                <w:szCs w:val="24"/>
              </w:rPr>
              <w:t>5.</w:t>
            </w:r>
          </w:p>
        </w:tc>
        <w:tc>
          <w:tcPr>
            <w:tcW w:w="8931"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ind w:left="170"/>
              <w:rPr>
                <w:rFonts w:ascii="Verdana" w:hAnsi="Verdana" w:cs="Times New Roman"/>
                <w:sz w:val="21"/>
                <w:szCs w:val="21"/>
              </w:rPr>
            </w:pPr>
            <w:r>
              <w:rPr>
                <w:rFonts w:cs="Times New Roman"/>
                <w:sz w:val="24"/>
                <w:szCs w:val="24"/>
              </w:rPr>
              <w:t>Наличие положительного экономического эффекта для бюджета муниципального образования области от реализации общественно значимого муниципального проекта, подтвержденного расчетом:</w:t>
            </w:r>
          </w:p>
          <w:p w:rsidR="0072515A" w:rsidRDefault="0072515A" w:rsidP="004A2F7F">
            <w:pPr>
              <w:ind w:left="170"/>
              <w:rPr>
                <w:rFonts w:ascii="Verdana" w:hAnsi="Verdana" w:cs="Times New Roman"/>
                <w:sz w:val="21"/>
                <w:szCs w:val="21"/>
              </w:rPr>
            </w:pPr>
            <w:r>
              <w:rPr>
                <w:rFonts w:cs="Times New Roman"/>
                <w:sz w:val="24"/>
                <w:szCs w:val="24"/>
              </w:rPr>
              <w:t>- наличие экономического эффекта - 3 балла;</w:t>
            </w:r>
          </w:p>
          <w:p w:rsidR="0072515A" w:rsidRDefault="0072515A" w:rsidP="004A2F7F">
            <w:pPr>
              <w:ind w:left="170"/>
              <w:rPr>
                <w:rFonts w:ascii="Verdana" w:hAnsi="Verdana" w:cs="Times New Roman"/>
                <w:sz w:val="21"/>
                <w:szCs w:val="21"/>
              </w:rPr>
            </w:pPr>
            <w:r>
              <w:rPr>
                <w:rFonts w:cs="Times New Roman"/>
                <w:sz w:val="24"/>
                <w:szCs w:val="24"/>
              </w:rPr>
              <w:t>- отсутствие экономического эффекта - 0 баллов.</w:t>
            </w:r>
          </w:p>
          <w:p w:rsidR="0072515A" w:rsidRDefault="0072515A" w:rsidP="004A2F7F">
            <w:pPr>
              <w:ind w:left="170"/>
              <w:rPr>
                <w:rFonts w:ascii="Verdana" w:hAnsi="Verdana" w:cs="Times New Roman"/>
                <w:sz w:val="21"/>
                <w:szCs w:val="21"/>
              </w:rPr>
            </w:pPr>
            <w:r>
              <w:rPr>
                <w:rFonts w:cs="Times New Roman"/>
                <w:sz w:val="24"/>
                <w:szCs w:val="24"/>
              </w:rPr>
              <w:t>Наличие расчета с нулевым значением или отсутствие расчета оценивается как отсутствие положительного экономического эффекта для бюджета муниципального образования области от реализации общественно значимого муниципального проекта</w:t>
            </w:r>
          </w:p>
        </w:tc>
      </w:tr>
      <w:tr w:rsidR="0072515A" w:rsidTr="004A2F7F">
        <w:tc>
          <w:tcPr>
            <w:tcW w:w="557"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jc w:val="center"/>
              <w:rPr>
                <w:rFonts w:ascii="Verdana" w:hAnsi="Verdana" w:cs="Times New Roman"/>
                <w:sz w:val="21"/>
                <w:szCs w:val="21"/>
              </w:rPr>
            </w:pPr>
            <w:r>
              <w:rPr>
                <w:rFonts w:cs="Times New Roman"/>
                <w:sz w:val="24"/>
                <w:szCs w:val="24"/>
              </w:rPr>
              <w:t>6.</w:t>
            </w:r>
          </w:p>
        </w:tc>
        <w:tc>
          <w:tcPr>
            <w:tcW w:w="8931" w:type="dxa"/>
            <w:tcBorders>
              <w:top w:val="single" w:sz="8" w:space="0" w:color="000000"/>
              <w:left w:val="single" w:sz="8" w:space="0" w:color="000000"/>
              <w:bottom w:val="single" w:sz="8" w:space="0" w:color="000000"/>
              <w:right w:val="single" w:sz="8" w:space="0" w:color="000000"/>
            </w:tcBorders>
            <w:hideMark/>
          </w:tcPr>
          <w:p w:rsidR="0072515A" w:rsidRDefault="0072515A" w:rsidP="004A2F7F">
            <w:pPr>
              <w:ind w:left="170"/>
              <w:rPr>
                <w:rFonts w:ascii="Verdana" w:hAnsi="Verdana" w:cs="Times New Roman"/>
                <w:sz w:val="21"/>
                <w:szCs w:val="21"/>
              </w:rPr>
            </w:pPr>
            <w:r>
              <w:rPr>
                <w:rFonts w:cs="Times New Roman"/>
                <w:sz w:val="24"/>
                <w:szCs w:val="24"/>
              </w:rPr>
              <w:t>Наличие вклада граждан и (или) юридических лиц (индивидуальных предпринимателей) в виде пожертвования (за исключением финансовых средств):</w:t>
            </w:r>
          </w:p>
          <w:p w:rsidR="0072515A" w:rsidRDefault="0072515A" w:rsidP="004A2F7F">
            <w:pPr>
              <w:ind w:left="170"/>
              <w:rPr>
                <w:rFonts w:ascii="Verdana" w:hAnsi="Verdana" w:cs="Times New Roman"/>
                <w:sz w:val="21"/>
                <w:szCs w:val="21"/>
              </w:rPr>
            </w:pPr>
            <w:r>
              <w:rPr>
                <w:rFonts w:cs="Times New Roman"/>
                <w:sz w:val="24"/>
                <w:szCs w:val="24"/>
              </w:rPr>
              <w:t>- наличие вклада - 5 баллов;</w:t>
            </w:r>
          </w:p>
          <w:p w:rsidR="0072515A" w:rsidRDefault="0072515A" w:rsidP="004A2F7F">
            <w:pPr>
              <w:ind w:left="170"/>
              <w:rPr>
                <w:rFonts w:ascii="Verdana" w:hAnsi="Verdana" w:cs="Times New Roman"/>
                <w:sz w:val="21"/>
                <w:szCs w:val="21"/>
              </w:rPr>
            </w:pPr>
            <w:r>
              <w:rPr>
                <w:rFonts w:cs="Times New Roman"/>
                <w:sz w:val="24"/>
                <w:szCs w:val="24"/>
              </w:rPr>
              <w:t>- отсутствие вклада - 0 баллов</w:t>
            </w:r>
          </w:p>
        </w:tc>
      </w:tr>
    </w:tbl>
    <w:p w:rsidR="0037318E" w:rsidRDefault="0037318E"/>
    <w:sectPr w:rsidR="00373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B96"/>
    <w:multiLevelType w:val="hybridMultilevel"/>
    <w:tmpl w:val="75082C52"/>
    <w:lvl w:ilvl="0" w:tplc="F70E8504">
      <w:start w:val="1"/>
      <w:numFmt w:val="decimal"/>
      <w:lvlText w:val="%1."/>
      <w:lvlJc w:val="left"/>
      <w:pPr>
        <w:ind w:left="23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484A35"/>
    <w:multiLevelType w:val="hybridMultilevel"/>
    <w:tmpl w:val="A770FD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2515A"/>
    <w:rsid w:val="0037318E"/>
    <w:rsid w:val="00725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15A"/>
    <w:pPr>
      <w:ind w:left="720"/>
      <w:contextualSpacing/>
    </w:pPr>
  </w:style>
  <w:style w:type="paragraph" w:customStyle="1" w:styleId="western">
    <w:name w:val="western"/>
    <w:basedOn w:val="a"/>
    <w:rsid w:val="00725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9581</Characters>
  <Application>Microsoft Office Word</Application>
  <DocSecurity>0</DocSecurity>
  <Lines>79</Lines>
  <Paragraphs>22</Paragraphs>
  <ScaleCrop>false</ScaleCrop>
  <Company>Reanimator Extreme Edition</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Волшебник</cp:lastModifiedBy>
  <cp:revision>2</cp:revision>
  <dcterms:created xsi:type="dcterms:W3CDTF">2022-01-24T08:13:00Z</dcterms:created>
  <dcterms:modified xsi:type="dcterms:W3CDTF">2022-01-24T08:14:00Z</dcterms:modified>
</cp:coreProperties>
</file>