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A3" w:rsidRPr="00B451F1" w:rsidRDefault="00BA5CA3" w:rsidP="00BA5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1F1">
        <w:rPr>
          <w:rFonts w:ascii="Times New Roman" w:hAnsi="Times New Roman" w:cs="Times New Roman"/>
          <w:sz w:val="28"/>
          <w:szCs w:val="28"/>
        </w:rPr>
        <w:t>Зелёнополянское сельское Собрание депутатов</w:t>
      </w:r>
    </w:p>
    <w:p w:rsidR="00BA5CA3" w:rsidRPr="00B451F1" w:rsidRDefault="00BA5CA3" w:rsidP="00BA5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1F1">
        <w:rPr>
          <w:rFonts w:ascii="Times New Roman" w:hAnsi="Times New Roman" w:cs="Times New Roman"/>
          <w:sz w:val="28"/>
          <w:szCs w:val="28"/>
        </w:rPr>
        <w:t>Ключевского района  Алтайского края</w:t>
      </w:r>
    </w:p>
    <w:p w:rsidR="00BA5CA3" w:rsidRPr="00B451F1" w:rsidRDefault="00BA5CA3" w:rsidP="00BA5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1F1">
        <w:rPr>
          <w:rFonts w:ascii="Times New Roman" w:hAnsi="Times New Roman" w:cs="Times New Roman"/>
          <w:sz w:val="28"/>
          <w:szCs w:val="28"/>
        </w:rPr>
        <w:t>Двадцать пятая сессия второго созыва</w:t>
      </w:r>
    </w:p>
    <w:p w:rsidR="00BA5CA3" w:rsidRPr="00B451F1" w:rsidRDefault="00BA5CA3" w:rsidP="00FC032B">
      <w:pPr>
        <w:jc w:val="center"/>
        <w:rPr>
          <w:rFonts w:ascii="PT Astra Serif" w:hAnsi="PT Astra Serif"/>
          <w:sz w:val="28"/>
          <w:szCs w:val="28"/>
        </w:rPr>
      </w:pPr>
    </w:p>
    <w:p w:rsidR="00FC032B" w:rsidRPr="00B451F1" w:rsidRDefault="00FC032B" w:rsidP="00FC032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451F1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B451F1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0429A4" w:rsidRPr="00E7668F" w:rsidRDefault="00C40EBC" w:rsidP="00FC03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24.12.2024</w:t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0429A4" w:rsidRPr="00E7668F">
        <w:rPr>
          <w:rFonts w:ascii="PT Astra Serif" w:hAnsi="PT Astra Serif"/>
          <w:sz w:val="28"/>
          <w:szCs w:val="28"/>
        </w:rPr>
        <w:tab/>
      </w:r>
      <w:r w:rsidR="00AF722A" w:rsidRPr="00E7668F">
        <w:rPr>
          <w:rFonts w:ascii="PT Astra Serif" w:hAnsi="PT Astra Serif"/>
          <w:sz w:val="28"/>
          <w:szCs w:val="28"/>
        </w:rPr>
        <w:t>№</w:t>
      </w:r>
      <w:r w:rsidR="000E2131">
        <w:rPr>
          <w:rFonts w:ascii="PT Astra Serif" w:hAnsi="PT Astra Serif"/>
          <w:sz w:val="28"/>
          <w:szCs w:val="28"/>
        </w:rPr>
        <w:t xml:space="preserve"> 143</w:t>
      </w:r>
    </w:p>
    <w:p w:rsidR="00FC032B" w:rsidRPr="00B451F1" w:rsidRDefault="00FC032B" w:rsidP="00FC032B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B451F1">
        <w:rPr>
          <w:rFonts w:ascii="PT Astra Serif" w:hAnsi="PT Astra Serif"/>
          <w:sz w:val="28"/>
          <w:szCs w:val="28"/>
        </w:rPr>
        <w:t>с</w:t>
      </w:r>
      <w:proofErr w:type="gramEnd"/>
      <w:r w:rsidRPr="00B451F1">
        <w:rPr>
          <w:rFonts w:ascii="PT Astra Serif" w:hAnsi="PT Astra Serif"/>
          <w:sz w:val="28"/>
          <w:szCs w:val="28"/>
        </w:rPr>
        <w:t xml:space="preserve">. </w:t>
      </w:r>
      <w:r w:rsidR="00BA5CA3" w:rsidRPr="00B451F1">
        <w:rPr>
          <w:rFonts w:ascii="PT Astra Serif" w:hAnsi="PT Astra Serif"/>
          <w:sz w:val="28"/>
          <w:szCs w:val="28"/>
        </w:rPr>
        <w:t>Зеленая Поляна</w:t>
      </w:r>
    </w:p>
    <w:tbl>
      <w:tblPr>
        <w:tblW w:w="0" w:type="auto"/>
        <w:tblLook w:val="01E0"/>
      </w:tblPr>
      <w:tblGrid>
        <w:gridCol w:w="4820"/>
      </w:tblGrid>
      <w:tr w:rsidR="00FC032B" w:rsidRPr="00B451F1" w:rsidTr="00662CF4">
        <w:tc>
          <w:tcPr>
            <w:tcW w:w="4820" w:type="dxa"/>
          </w:tcPr>
          <w:p w:rsidR="00FC032B" w:rsidRPr="00B451F1" w:rsidRDefault="00C46195" w:rsidP="000429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      </w:r>
            <w:r w:rsidR="00983580"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0429A4"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Зелёнополянский</w:t>
            </w:r>
            <w:r w:rsidR="00983580"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</w:t>
            </w:r>
            <w:r w:rsidR="000429A4"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83580"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Ключевского</w:t>
            </w:r>
            <w:r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983580"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451F1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</w:p>
        </w:tc>
      </w:tr>
    </w:tbl>
    <w:p w:rsidR="009B418D" w:rsidRPr="00B451F1" w:rsidRDefault="00B62AA3" w:rsidP="000429A4">
      <w:pPr>
        <w:shd w:val="clear" w:color="auto" w:fill="FFFFFF"/>
        <w:spacing w:after="0" w:line="240" w:lineRule="auto"/>
        <w:ind w:left="357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В целях упорядочения 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представительских расходов и иных расходов, связанных с представительской деятельностью органов местного самоуправления муниципального образования </w:t>
      </w:r>
      <w:proofErr w:type="gramStart"/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сельское</w:t>
      </w:r>
      <w:proofErr w:type="gramEnd"/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</w:t>
      </w:r>
      <w:r w:rsidR="00203DD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я, в соответствии со статьей 264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Налогового кодекса Российской Федерации,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9B418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</w:t>
      </w:r>
      <w:r w:rsidR="009B418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Собрание депутатов</w:t>
      </w:r>
      <w:proofErr w:type="gramEnd"/>
    </w:p>
    <w:p w:rsidR="009B418D" w:rsidRPr="00B451F1" w:rsidRDefault="009B418D" w:rsidP="009B418D">
      <w:pPr>
        <w:shd w:val="clear" w:color="auto" w:fill="FFFFFF"/>
        <w:spacing w:after="0" w:line="240" w:lineRule="auto"/>
        <w:ind w:left="357"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РЕШИЛО:</w:t>
      </w:r>
    </w:p>
    <w:p w:rsidR="009B418D" w:rsidRPr="00B451F1" w:rsidRDefault="00B56940" w:rsidP="00481C1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E272E1" w:rsidRPr="00B451F1" w:rsidRDefault="00E272E1" w:rsidP="00481C1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решение опубликовать в установленном законом порядке.</w:t>
      </w:r>
    </w:p>
    <w:p w:rsidR="00E272E1" w:rsidRPr="00B451F1" w:rsidRDefault="00E272E1" w:rsidP="00481C1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возложить на постоянную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бюджетную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комиссию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 сельского Собрания депутатов (Редунов Б.В.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5C2929" w:rsidRPr="00B451F1" w:rsidRDefault="005C2929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BA5CA3" w:rsidRPr="00B451F1" w:rsidRDefault="00401C55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                                      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Т.А. Бурлакова</w:t>
      </w:r>
    </w:p>
    <w:p w:rsidR="00BA5CA3" w:rsidRPr="00B451F1" w:rsidRDefault="00BA5CA3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рило</w:t>
      </w:r>
      <w:r w:rsidR="0048671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жение к решению </w:t>
      </w:r>
      <w:r w:rsidR="000429A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Зелёнополянского</w:t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           сельского 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Собрания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</w:p>
    <w:p w:rsidR="00280243" w:rsidRPr="00B451F1" w:rsidRDefault="00AF722A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C40EB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24.12.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2024 г. № </w:t>
      </w:r>
      <w:r w:rsidR="00087CC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14</w:t>
      </w:r>
      <w:r w:rsidR="000E213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5C2929" w:rsidRPr="00B451F1" w:rsidRDefault="005C292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(далее - Положение) разработано в целях упорядочения использования средств бюджета муници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</w:t>
      </w:r>
      <w:proofErr w:type="gramEnd"/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и предоставления отчетности по ним.</w:t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Положение устанавливает порядок финансирования и использования средств бюджета муниципального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сельское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   муници</w:t>
      </w:r>
      <w:r w:rsidR="005C292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регламентирует отчетность использования указанных средств.</w:t>
      </w:r>
      <w:proofErr w:type="gramEnd"/>
    </w:p>
    <w:p w:rsidR="00280243" w:rsidRPr="00B451F1" w:rsidRDefault="00280243" w:rsidP="0028024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Расходование денежных средств на представительские расходы органов местного самоуправления муници</w:t>
      </w:r>
      <w:r w:rsidR="00FA25B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Алтайского края производится в соответствии с порядком и нормами расходования средств на представительские рас</w:t>
      </w:r>
      <w:r w:rsidR="00FA25B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ходы, осуществляемые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Зелёнополянским </w:t>
      </w:r>
      <w:r w:rsidR="003B4B7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сельским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Собранием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депутатов, главой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 </w:t>
      </w:r>
      <w:r w:rsidR="003B4B7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</w:t>
      </w:r>
      <w:r w:rsidR="00FA25B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она, Администрацией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 </w:t>
      </w:r>
      <w:r w:rsidR="003B4B7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сельсовета.</w:t>
      </w:r>
      <w:proofErr w:type="gramEnd"/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Основной целью осуществления таких расходов является обеспечение мероприятий по установлению сотрудничества органов местного самоуправления муници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3B4B7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 края с другими организациями, муниципальными образованиями, регионами, представителями общественности, отдельными лицами, создание положительного имиджа, формирование взаимовыгодных отношений в интересах муници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80512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D80512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D80512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D80512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чествование физических и юридических лиц.</w:t>
      </w:r>
      <w:proofErr w:type="gramEnd"/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Представительские   расходы   -   это расходы   органов местного самоуправления муници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связанные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 сотрудничества, а также участников, прибывших на официальные мероприятия органов мест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ного самоуправления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независимо от места проведения мероприятия. Сувенирная продукция – подарки, в том числе сувениры, печатная и полиграфическая продукция, включая поздравительные открытки, приглашения, буклеты и т.п.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 Должностные лица, имеющие право от имени органов местного самоуправления муници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вести официальные приемы и участвовать в торжественных и иных официальных мероприятиях:</w:t>
      </w:r>
    </w:p>
    <w:p w:rsidR="00280243" w:rsidRPr="00B451F1" w:rsidRDefault="005D3C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Глава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Зелёнополянского</w:t>
      </w:r>
      <w:r w:rsidR="0075053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58624E" w:rsidRPr="00B451F1" w:rsidRDefault="0058624E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 Заместитель главы Администрации Зелёнополянского сельсовета Ключевского района</w:t>
      </w:r>
      <w:r w:rsidR="00BA5CA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A5CA3" w:rsidRPr="00B451F1">
        <w:rPr>
          <w:rFonts w:ascii="PT Astra Serif" w:hAnsi="PT Astra Serif" w:cs="Arial"/>
          <w:sz w:val="28"/>
          <w:szCs w:val="28"/>
        </w:rPr>
        <w:t xml:space="preserve"> на которого возложена</w:t>
      </w:r>
      <w:r w:rsidR="00BA5CA3" w:rsidRPr="00B451F1">
        <w:rPr>
          <w:rFonts w:ascii="PT Astra Serif" w:hAnsi="PT Astra Serif"/>
          <w:sz w:val="28"/>
          <w:szCs w:val="28"/>
        </w:rPr>
        <w:br/>
      </w:r>
      <w:r w:rsidR="00BA5CA3" w:rsidRPr="00B451F1">
        <w:rPr>
          <w:rFonts w:ascii="PT Astra Serif" w:hAnsi="PT Astra Serif" w:cs="Arial"/>
          <w:sz w:val="28"/>
          <w:szCs w:val="28"/>
        </w:rPr>
        <w:t>обязанность проведения мероприятий, связанных с</w:t>
      </w:r>
      <w:r w:rsidR="00BA5CA3" w:rsidRPr="00B451F1">
        <w:rPr>
          <w:rFonts w:ascii="PT Astra Serif" w:hAnsi="PT Astra Serif"/>
          <w:sz w:val="28"/>
          <w:szCs w:val="28"/>
        </w:rPr>
        <w:br/>
      </w:r>
      <w:r w:rsidR="00BA5CA3" w:rsidRPr="00B451F1">
        <w:rPr>
          <w:rFonts w:ascii="PT Astra Serif" w:hAnsi="PT Astra Serif" w:cs="Arial"/>
          <w:sz w:val="28"/>
          <w:szCs w:val="28"/>
        </w:rPr>
        <w:t>представительскими расходами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80243" w:rsidRPr="00B451F1" w:rsidRDefault="0058624E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</w:t>
      </w:r>
      <w:r w:rsidR="0088516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Секретарь </w:t>
      </w:r>
      <w:r w:rsidR="00925BC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Зелёнополянского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Ключевского района</w:t>
      </w:r>
      <w:r w:rsidR="00BA5CA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A5CA3" w:rsidRPr="00B451F1">
        <w:rPr>
          <w:rFonts w:ascii="PT Astra Serif" w:hAnsi="PT Astra Serif" w:cs="Arial"/>
          <w:sz w:val="28"/>
          <w:szCs w:val="28"/>
        </w:rPr>
        <w:t xml:space="preserve"> на которого возложена</w:t>
      </w:r>
      <w:r w:rsidR="00BA5CA3" w:rsidRPr="00B451F1">
        <w:rPr>
          <w:rFonts w:ascii="PT Astra Serif" w:hAnsi="PT Astra Serif"/>
          <w:sz w:val="28"/>
          <w:szCs w:val="28"/>
        </w:rPr>
        <w:br/>
      </w:r>
      <w:r w:rsidR="00BA5CA3" w:rsidRPr="00B451F1">
        <w:rPr>
          <w:rFonts w:ascii="PT Astra Serif" w:hAnsi="PT Astra Serif" w:cs="Arial"/>
          <w:sz w:val="28"/>
          <w:szCs w:val="28"/>
        </w:rPr>
        <w:t>обязанность проведения мероприятий, связанных с</w:t>
      </w:r>
      <w:r w:rsidR="00BA5CA3" w:rsidRPr="00B451F1">
        <w:rPr>
          <w:rFonts w:ascii="PT Astra Serif" w:hAnsi="PT Astra Serif"/>
          <w:sz w:val="28"/>
          <w:szCs w:val="28"/>
        </w:rPr>
        <w:br/>
      </w:r>
      <w:r w:rsidR="00BA5CA3" w:rsidRPr="00B451F1">
        <w:rPr>
          <w:rFonts w:ascii="PT Astra Serif" w:hAnsi="PT Astra Serif" w:cs="Arial"/>
          <w:sz w:val="28"/>
          <w:szCs w:val="28"/>
        </w:rPr>
        <w:t>представительскими расходами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80243" w:rsidRPr="00B451F1" w:rsidRDefault="0058624E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</w:t>
      </w:r>
      <w:r w:rsidR="0075053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24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</w:t>
      </w:r>
      <w:r w:rsidR="00D465E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6F424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олянского</w:t>
      </w:r>
      <w:r w:rsidR="0075053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925BC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B665F" w:rsidRPr="00B451F1" w:rsidRDefault="0058624E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5)</w:t>
      </w:r>
      <w:r w:rsidR="0022707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Заместитель председателя Зелё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нополянского сельского Собрания депутатов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E5464" w:rsidRPr="00B451F1" w:rsidRDefault="005E5464" w:rsidP="005E54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5.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280243" w:rsidRPr="00B451F1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Средства на осуществление представительских расходов и иных расходов, связанных с представительской деятельностью, утверждаются решением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</w:t>
      </w:r>
      <w:r w:rsidR="006164C8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BA5CA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местном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бюджете по соответствующему органу местного самоуправления </w:t>
      </w:r>
      <w:r w:rsidR="00F101F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района. Финансовое обеспечение расходных обязательств, связанных с реализацией настоящего Положения, осуществляется из бюджета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 </w:t>
      </w:r>
      <w:r w:rsidR="0075053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1F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в пределах</w:t>
      </w:r>
      <w:r w:rsidR="006164C8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предусмотренных сре</w:t>
      </w:r>
      <w:proofErr w:type="gramStart"/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дств в б</w:t>
      </w:r>
      <w:proofErr w:type="gramEnd"/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юджете с учетом нормирования, установленного в данном Положении.</w:t>
      </w:r>
    </w:p>
    <w:p w:rsidR="005E5464" w:rsidRPr="00B451F1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B451F1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2. НАПРАВЛЕНИЯ РАСХОДОВАНИЯ ДЕНЕЖНЫХ СРЕДСТВ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1.В состав представительских расходов включаются: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проведение официального приема (завтрака, обеда, ужина или иного аналогичного мероприят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ия) для лиц, указанных в пунктах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B451F1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оплату гостиницы, питания, бронирование мест для лиц, указанных в 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пунктах</w:t>
      </w:r>
      <w:r w:rsidR="0098358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4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- расходы на буфетное обслуживание и фуршеты во время переговоров, совещаний, конференций, рабочих встреч, заседаний коллегиальных, совещательных органов, «круглых столов», форумов и иных мероприятий, залов заседаний и приемных, в том числе расходы на салфетки, скатерти, напитки, посуду, продукты питания и/или расходы на сервировку и обслуживание;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транспортное обеспечение доставки лиц, указанных в пунктах 4 и 5 раздела 1 настоящего Положения к месту проведения представительского мероприятия и обратно;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культурное обслуживание;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 приобретение памятных</w:t>
      </w:r>
      <w:r w:rsidR="00203DD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ценных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подарков, сувенирной продукции, цветов и цветочных композиций, связанные с вручением.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расходы, связанные с представительской деятельностью, - это расходы органов местного самоуправления муници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связанные: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с участием представителей органов местного самоуправления муниципальн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 образования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органами местного самоуправления муници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организованных органами местного самоуправления муниципального образования Ключевский район Алтайского края</w:t>
      </w:r>
      <w:proofErr w:type="gramEnd"/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 с участием представителей органов местного самоуправления муници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на территории муници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FF72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организованных на территории муниципального образования Ключевский район Алтайского края</w:t>
      </w:r>
      <w:proofErr w:type="gramEnd"/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3) с участием 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представителей органов местного самоуправления муници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proofErr w:type="gramEnd"/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Зелёнополянский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иными субъектами на территории муници</w:t>
      </w:r>
      <w:r w:rsidR="001A13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 Ключевский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4) с участием представителей органов местного самоуправления муниципального образования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A00FE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  <w:proofErr w:type="gramEnd"/>
    </w:p>
    <w:p w:rsidR="00280243" w:rsidRPr="00B451F1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заседаний, конференций, семинаров, совещаний и других официальных мероприятий органов местного самоуправления муниципального образования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</w:p>
    <w:p w:rsidR="00280243" w:rsidRPr="00B451F1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торжественных приемов, организованных в органах местного самоуправления муниципального образования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</w:t>
      </w:r>
      <w:proofErr w:type="gramStart"/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а) ветеранов Великой Отечественной войны и других граждан, отнесенных федеральным или региональным законодательством к льготным категориям, включая участников специальной военной операции (СВО), а также членов их семей;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б) заслуженных работников   образования, здравоохранения, культуры, искусства, производственной сферы;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в) почетных граждан;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спортсменов, студентов, учащихся школ, достигших высоких показателей в своей деятельности;</w:t>
      </w:r>
    </w:p>
    <w:p w:rsidR="00280243" w:rsidRPr="00B451F1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7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) с участием </w:t>
      </w:r>
      <w:proofErr w:type="gramStart"/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представителей органов местного самоуправления муниципального образования</w:t>
      </w:r>
      <w:proofErr w:type="gramEnd"/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Зелёнополянский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0FE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чествовании юбиляров;</w:t>
      </w:r>
    </w:p>
    <w:p w:rsidR="00280243" w:rsidRPr="00B451F1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) с участием </w:t>
      </w:r>
      <w:proofErr w:type="gramStart"/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представителей органов местного самоуправления муници</w:t>
      </w:r>
      <w:r w:rsidR="00A00FE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proofErr w:type="gramEnd"/>
      <w:r w:rsidR="00A00FE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Зелёнополянский 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 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траурных мероприятиях, посвященных памятным общероссийским датам;</w:t>
      </w:r>
    </w:p>
    <w:p w:rsidR="00280243" w:rsidRPr="00B451F1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9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Зелёнополянский </w:t>
      </w:r>
      <w:r w:rsidR="00756B3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 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траурных мероприятиях, связанных со смертью людей, внесших значительный вклад в развитие муници</w:t>
      </w:r>
      <w:r w:rsidR="00F243B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B3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756B3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участников СВО;</w:t>
      </w:r>
      <w:proofErr w:type="gramEnd"/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9340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организацией презентаций для инвесторов, партнеров;</w:t>
      </w:r>
    </w:p>
    <w:p w:rsidR="00280243" w:rsidRPr="00B451F1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11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вручением муниципальных наград, наград Алтайского края или наград Российской Федерации;</w:t>
      </w:r>
    </w:p>
    <w:p w:rsidR="00280243" w:rsidRPr="00B451F1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12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в официальных мероприятиях, посвященных открытию (введению в эксплуатацию) социально-значимых объектов.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2.3</w:t>
      </w:r>
      <w:proofErr w:type="gramStart"/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представительским расходам и иным расходам, связанным с представительской деятельностью органов мест</w:t>
      </w:r>
      <w:r w:rsidR="00F243B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ного самоуправления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сельское поселение</w:t>
      </w:r>
      <w:r w:rsidR="00F243B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59340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3B4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не относятся расходы на организацию развлечений,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3. СОСТАВ И ПОРЯДОК ФИНАНСИРОВАНИЯ, РАСХОДОВАНИЯ</w:t>
      </w:r>
      <w:r w:rsidR="000572A6"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 НА ПРЕДСТАВИТЕЛЬСКИЕ РАСХОДЫ</w:t>
      </w:r>
      <w:r w:rsidR="000572A6"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И ИНЫЕ РАСХОДЫ, СВЯЗАННЫЕ С ПРЕДСТАВИТЕЛЬСКОЙ ДЕЯТЕЛЬНОСТЬЮ ОРГАНОВ МЕСТНОГО</w:t>
      </w:r>
      <w:r w:rsidR="001B353B"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САМОУПРАВЛЕНИЯ КЛЮЧЕВСКОГО</w:t>
      </w: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280243" w:rsidRPr="00B451F1" w:rsidRDefault="00280243" w:rsidP="00B451F1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3.1.Средства на представительские расходы и иные расходы, связанные с представительской деятельностью, планируются и ежегодно утверждаются в сметах расходов органов местного самоуправления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 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353B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</w:t>
      </w:r>
      <w:r w:rsidR="00D04DCD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рая по целевой статье 9990014711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(прочие выплаты по обязательствам государства</w:t>
      </w:r>
      <w:r w:rsidR="00F73F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(представительские расходы)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); 9990014760 (расходы, связанные с международной деятельностью) в размере, не превышающем 4 процента от расходов на оплату труда учреждения, утвержденных в б</w:t>
      </w:r>
      <w:r w:rsidR="001B353B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юджете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согласно п. 2 ст. 264 Налогового кодекса РФ.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3.2. Финансирование расходов на прием делегаций осуществляется на основании распорядительного документа (программы мероприятия (плана, протокола встречи)) органа местного самоуправления муници</w:t>
      </w:r>
      <w:r w:rsidR="001B353B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(должностного лица), осуществляющего прием соответствующей делегации. Указанные расходы финансируются за счет средств местного бюджета при условии, если данные расходы не компенсируются за счет средств 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направляющей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либо принимающей стороны.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3.3. Распорядительным документом: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а) утверждается программа мероприятия согласно Приложению № 1 с указанием цели участия в нем, состава участников мероприятия, даты и места проведения мероприятия;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)у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тверждается предельная сумма расходов на данное мероприятие и смета расходов на организацию мероприятия согласно </w:t>
      </w:r>
      <w:hyperlink r:id="rId7" w:history="1">
        <w:r w:rsidRPr="00B451F1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Приложению № </w:t>
        </w:r>
      </w:hyperlink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утверждается круг ответственных лиц за организацию и проведение мероприятия;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д) обозначаются источники финансирования расходов.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3.4. Проект распорядительного документа готовит лицо, ответственное за проведение мероприятия.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Смета расходов на организацию мероприятия согласовывается с 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бухгалтером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утверждается в пределах, имеющихся в распоряжении средств местного бюджета на данный вид расходов.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Представительские расходы и иные расходы, связанные с представительской</w:t>
      </w:r>
      <w:r w:rsidR="00F73FF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деятельностью, на сумму свыше 2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00 тысяч рублей, ут</w:t>
      </w:r>
      <w:r w:rsidR="00EA3FB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верждаются решением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Зелёнополянского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депутатов 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 района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3.5.Размер представительских расходов и иных расходов, связанных с представительской деятельностью, устанавливается в соответствии с предельными нормативами ра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сходов за счет средств </w:t>
      </w:r>
      <w:r w:rsidR="002B665F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местного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бюджета согласно </w:t>
      </w:r>
      <w:hyperlink r:id="rId8" w:history="1">
        <w:r w:rsidRPr="00B451F1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Приложениям №№ 3</w:t>
        </w:r>
      </w:hyperlink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9" w:history="1">
        <w:r w:rsidRPr="00B451F1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5 к настоящему Положению.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3.6. Представительские расходы и иные расходы, связанные с представительской деятельностью, осуществляются как наличными денежными средствами, так и безналичным путем согласно заключенным договорам/контрактам.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3.7. Выдача денежных средств под отчет на представительские расходы и иные расходы, связанные с представительской деятельностью, производится должностному лицу, уполномоченному на это соответствующим распоряжением.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4.ПОРЯДОК ДОКУМЕНТАЛЬНОГО ОФОРМЛЕНИЯ И ОТРАЖЕНИЯ В БУХГАЛТЕРСКОМ УЧЁТЕ ПРЕДСТАВИТЕЛЬСКИХ РАСХОДОВИ ИНЫХ РАСХОДОВ, СВЯЗАННЫХ С ПРЕДСТАВИТЕЛЬСКОЙ ДЕЯТЕЛЬНОСТЬЮ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4.1. Расходование сре</w:t>
      </w: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4.2. По окончании мероприятия ответственным за проведение мероприятия (отчетным лицом), составляется отчет (</w:t>
      </w:r>
      <w:hyperlink r:id="rId10" w:history="1">
        <w:r w:rsidRPr="00B451F1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 № </w:t>
        </w:r>
      </w:hyperlink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6, </w:t>
      </w:r>
      <w:hyperlink r:id="rId11" w:history="1">
        <w:r w:rsidRPr="00B451F1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), подтверждающий фактически произведенные расходы, с приложением к нему первичных оправдательных документов.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</w:t>
      </w:r>
      <w:r w:rsidR="0080797A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оставив в бухгалтерию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приложением к нему отчета о произведенных представительских расходах и оправдательных документов и/или вернуть неиспользованные денежные средства.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4.3. Затраты на расходы подтверждаются следующими документами: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правовой акт об осуществлении расходов и (или) программа мероприятий (план, протокол встречи, заседания);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смета по проведению мероприятия;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акт о списании материальных запасов установленной формы, подписанный должностным лицом;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список участников мероприятия, включая состав делегации принимающей стороны;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документы, подтверждающие проживание в гостинице и проезд к месту проведения мероприятия и обратно;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кассовый чек, товарный чек, квитанция или другой документ, подтверждающий прием денежных средств за соответствующие товары, работы, услуги;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отчет о произведенных представительских расходах;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авансовый отчет материально ответственного лица.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Указанные доку</w:t>
      </w:r>
      <w:r w:rsidR="00383C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менты предоставляются в бухгалтерию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лицом, ответственным за проведение мероприятий.</w:t>
      </w:r>
    </w:p>
    <w:p w:rsidR="00280243" w:rsidRPr="00B451F1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4.4. Приобретенные материальные ценности подлежат оприходованию и отражаются в бухгалтерском учете органов местного самоуправления муници</w:t>
      </w:r>
      <w:r w:rsidR="00471C37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83C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CC56F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383C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83CE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F73FF7" w:rsidRDefault="00F73FF7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5. ОТВЕТСТВЕННОСТЬ</w:t>
      </w:r>
    </w:p>
    <w:p w:rsidR="00280243" w:rsidRPr="00B451F1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        1.Ответственность за своевременность представления отчетных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документов несет ответственное лицо, за целевое испо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льзование средств </w:t>
      </w:r>
      <w:r w:rsidR="00B451F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бюджета</w:t>
      </w:r>
      <w:r w:rsidR="00B451F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– руководитель органа местного самоуправления.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В случае нецелевого испо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льзования средств </w:t>
      </w:r>
      <w:r w:rsidR="00B451F1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бюджета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 представительские расходы и иные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расходы, связанные с представительской деятельностью, должностные лица несут ответственность, предусмотренную действующим законодательством Российской Федерации.</w:t>
      </w:r>
    </w:p>
    <w:p w:rsidR="00027A5E" w:rsidRDefault="00027A5E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280243" w:rsidRPr="00481C18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представительской деятельностью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280243" w:rsidRPr="00B451F1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E24B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280243" w:rsidRPr="00481C18" w:rsidRDefault="00817BAC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ПРОВЕДЕНИЯ ПРЕДСТАВИТЕЛЬСКИХ МЕРОПРИЯТИЙ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 местного самоуправления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(вопросы) 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Дата проведения: с "____" ___________ 20___ г. по "____" ____________20___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проведения: 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должностные лица: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 стороны учреждения планируется участие следующих лиц: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/>
      </w:tblPr>
      <w:tblGrid>
        <w:gridCol w:w="344"/>
        <w:gridCol w:w="5891"/>
        <w:gridCol w:w="1877"/>
        <w:gridCol w:w="1878"/>
      </w:tblGrid>
      <w:tr w:rsidR="00280243" w:rsidRPr="00481C18" w:rsidTr="00280243">
        <w:trPr>
          <w:trHeight w:val="240"/>
          <w:jc w:val="center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Представительские мероприятия       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  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  </w:t>
            </w:r>
          </w:p>
        </w:tc>
      </w:tr>
      <w:tr w:rsidR="00280243" w:rsidRPr="00481C18" w:rsidTr="00280243">
        <w:trPr>
          <w:trHeight w:val="24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Ответственное лицо: ________________/_________________</w:t>
      </w:r>
    </w:p>
    <w:p w:rsidR="00027A5E" w:rsidRDefault="00027A5E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2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E24B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СМЕТА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"____" 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лица в кол-ве 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Официальные участники со стороны учреждения 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7777"/>
        <w:gridCol w:w="1318"/>
      </w:tblGrid>
      <w:tr w:rsidR="00280243" w:rsidRPr="00481C18" w:rsidTr="00280243">
        <w:trPr>
          <w:trHeight w:val="36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Суммы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(руб.)</w:t>
            </w: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по официальному приему       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проведения переговоров, семинаров, конференций, «круглых столов», рабочих встреч, форумов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услуг переводчиков, не состоящих в штате организации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ИТОГО:                                                     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</w:tbl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Обоснование расходов по каждому пункту.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________________/ _______________/ 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 (подпись)         (Ф.И.О.)                   (должность)</w:t>
      </w: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3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E24B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B451F1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B451F1" w:rsidRDefault="00280243" w:rsidP="00652B89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представительских расходов, связанных с приемом, направлением и (или) обслуживанием делегаций</w:t>
      </w:r>
      <w:r w:rsidR="00652B8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отдельных лиц, участвующих в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мероприятиях,проводимых с участием органов местного самоуправления</w:t>
      </w:r>
    </w:p>
    <w:p w:rsidR="00280243" w:rsidRPr="00481C18" w:rsidRDefault="00280243" w:rsidP="00B451F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652B89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E24B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9705" w:type="dxa"/>
        <w:jc w:val="center"/>
        <w:tblCellMar>
          <w:left w:w="0" w:type="dxa"/>
          <w:right w:w="0" w:type="dxa"/>
        </w:tblCellMar>
        <w:tblLook w:val="04A0"/>
      </w:tblPr>
      <w:tblGrid>
        <w:gridCol w:w="6662"/>
        <w:gridCol w:w="3043"/>
      </w:tblGrid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статьи расходов         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Предельные нормативы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расходов      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руководителей делегаций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817BAC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членов делегации, </w:t>
            </w:r>
            <w:r w:rsidR="00280243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          </w:t>
            </w:r>
            <w:r w:rsidR="00280243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сопровождающих лиц        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Бронирование гостиницы                    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 заявкам принимающей стороны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30 процентов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стоимости места за сутки</w:t>
            </w:r>
          </w:p>
        </w:tc>
      </w:tr>
      <w:tr w:rsidR="00280243" w:rsidRPr="00481C18" w:rsidTr="00817BAC">
        <w:trPr>
          <w:trHeight w:val="1071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питания (в сутки на одного человека)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3000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 официальный прием (на одного человека в день)                 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3000 руб.            </w:t>
            </w:r>
          </w:p>
        </w:tc>
      </w:tr>
      <w:tr w:rsidR="00280243" w:rsidRPr="00481C18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переговоров, семинаров, конференций, «круглых столов», рабочих встреч, форумов (на одного человека в день,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800 руб.            </w:t>
            </w:r>
          </w:p>
        </w:tc>
      </w:tr>
      <w:tr w:rsidR="00280243" w:rsidRPr="00481C18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 оплату санитарно-гигиенических предметов (салфетки, разовая посуда и т.п.)и средств (на одного человека,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100 руб.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проезда к месту проведения мероприятий и обратно   общественным воздушным(по стоимости билета эконом-класса), железнодорожным, автомобильным (кроме легковых такси), водным транспортом делегаций и отдельных лиц  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с учетом утвержденных норм, установленных Порядком возмещения расходов, связанных со служебными командировками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Обслуживание делегаций автомобильным транспортом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Канцелярские товары, в том числе с соответствующей символикой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2000 руб.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Аренда помещений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или изготовление полиграфической продукции (поздравительных открыток, визиток, бейджиков, благодарственных писем, грамот, приветственных адресов, приглашений), рамок для грамот и т.п.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проведением встреч с руководителями организаций, предприятий и учреждений муниципального района, жителями района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1 000 рублей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организацией презентаций для инвесторов, партнеров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10 000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для чествования работников органов местного самоуправления в связи юбилейными датами (50, 55 лет и далее каждые пять лет)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3000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Чествование граждан, внесших значительный вклад в развитие муниципального района, а также в связи с присвоением им почетного звания и (или) награждения Благодарственным письмом, Почетной грамотой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5 000 рублей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мероприятиями по открытию социально-значимых объектов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20 000 рублей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официальным посещением торжественных приемов, конференций, совещаний, презентаций и иных массовых мероприятий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10 000 рублей</w:t>
            </w:r>
          </w:p>
        </w:tc>
      </w:tr>
    </w:tbl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E24B0" w:rsidRDefault="001E24B0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E24B0" w:rsidRDefault="001E24B0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4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E24B0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1E24B0" w:rsidRPr="00B451F1" w:rsidRDefault="001E24B0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B451F1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муниципального образования </w:t>
      </w:r>
    </w:p>
    <w:p w:rsidR="00280243" w:rsidRPr="00481C18" w:rsidRDefault="00817BAC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сельское</w:t>
      </w:r>
      <w:proofErr w:type="gramEnd"/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поселенние</w:t>
      </w:r>
      <w:r w:rsidR="008C3A7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5980"/>
        <w:gridCol w:w="1783"/>
        <w:gridCol w:w="1783"/>
      </w:tblGrid>
      <w:tr w:rsidR="00280243" w:rsidRPr="00481C18" w:rsidTr="00280243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</w:t>
            </w:r>
          </w:p>
        </w:tc>
      </w:tr>
      <w:tr w:rsidR="00280243" w:rsidRPr="00481C18" w:rsidTr="0028024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единица сувенирной продукции (по фактическим расходам, но не более) тыс.руб.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букет цветов, цветочная композиция (по фактическим расходам, но не более) тыс.руб.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юбилейных, праздничных исторических и памятных мероприятий регионального и местного значения.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Юбилейные и праздничные даты предприятий, организаций, учреждений и их руководителей.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451F1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  торжественных приемов, организованных органами местного самоуправления муници</w:t>
            </w:r>
            <w:r w:rsidR="00E5200A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8C3A76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Зелёнополянский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451F1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Поздравление руководителей органов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самоуправления муници</w:t>
            </w:r>
            <w:r w:rsidR="00E5200A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8C3A76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Зелёнополянский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 в связи с юбилейными, праздничными (в том числе профессиональными праздниками), 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историческими и иными памятными датами.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Приемы делегаций органов власти и управления Российской Федерации, субъектов Российской Федерации, муниципальных образований, иностранных государств.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Вручение сувенирной продукции при выезде представителей органов местного 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самоуправления муници</w:t>
            </w:r>
            <w:r w:rsidR="00E5200A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8C3A76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Зелёнополянский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E5200A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Ключевск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451F1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 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составе официальных делегаций и групп в иные населенные пункты.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при проведении мероприятий для возложения к мемориалам.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цветков (венков) для участия ритуальных мероприятий.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</w:tbl>
    <w:p w:rsidR="00027A5E" w:rsidRDefault="00027A5E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5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8C3A7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8C3A76" w:rsidRPr="00481C18" w:rsidRDefault="008C3A76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расходов, связанных с приобретением продуктов питания и расходов на сервировку и обслуживание для залов заседаний, приемных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5"/>
        <w:gridCol w:w="2520"/>
      </w:tblGrid>
      <w:tr w:rsidR="00E02520" w:rsidRPr="00481C18" w:rsidTr="00E02520">
        <w:trPr>
          <w:trHeight w:val="1080"/>
        </w:trPr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    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Залы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заседаний</w:t>
            </w:r>
          </w:p>
        </w:tc>
      </w:tr>
      <w:tr w:rsidR="00E02520" w:rsidRPr="00481C18" w:rsidTr="00E02520">
        <w:trPr>
          <w:trHeight w:val="600"/>
        </w:trPr>
        <w:tc>
          <w:tcPr>
            <w:tcW w:w="3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кофе, чая, напитко</w:t>
            </w: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в(</w:t>
            </w:r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питьевая вода, молоко, сливки),кондитерских и выпечных изделий (печенье, конфеты и пр.), фруктов.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тыс. руб. 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месяц      </w:t>
            </w:r>
          </w:p>
        </w:tc>
      </w:tr>
      <w:tr w:rsidR="00E02520" w:rsidRPr="00481C18" w:rsidTr="00E02520">
        <w:trPr>
          <w:trHeight w:val="600"/>
        </w:trPr>
        <w:tc>
          <w:tcPr>
            <w:tcW w:w="3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на сервировку и обслуживание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</w:p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тыс. руб. в</w:t>
            </w:r>
          </w:p>
          <w:p w:rsidR="00E02520" w:rsidRPr="00481C18" w:rsidRDefault="00E02520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месяц        </w:t>
            </w:r>
          </w:p>
        </w:tc>
      </w:tr>
    </w:tbl>
    <w:p w:rsidR="00027A5E" w:rsidRDefault="00027A5E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6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8C3A7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 РАСХОДАХ(ИНЫХ)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(наименование учреждения)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соответствии с распоряжением ___________________________(ОМС) от «___»______ 20__ года проведено мероприятие____________________________________________________________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 (наименование мероприятия)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мероприятия _________________________________.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мероприятия __________________________________.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Количество присутствующих: ________________ чел.,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учреждения __________________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_______________________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Общая сумма расходов на проведение мероприятия составила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_________________рублей (____________________) (сумма прописью)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3684"/>
        <w:gridCol w:w="2337"/>
        <w:gridCol w:w="2379"/>
      </w:tblGrid>
      <w:tr w:rsidR="00280243" w:rsidRPr="00481C18" w:rsidTr="0028024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 в рублях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Подтверждающие документы</w:t>
            </w:r>
          </w:p>
        </w:tc>
      </w:tr>
      <w:tr w:rsidR="00280243" w:rsidRPr="00481C18" w:rsidTr="00280243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______ листах.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 _______________/_____________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027A5E" w:rsidRDefault="00027A5E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27A5E" w:rsidRDefault="00027A5E">
      <w:pP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7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451F1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8C3A76"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Зелёнополянский</w:t>
      </w: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B451F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 Алтайского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края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 РАСХОДАХ(ИНЫХ)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 (наименование мероприятия, реквизиты распорядительного документа)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были проведены 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 (наименование расходов)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Присутствовали на мероприятии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организации: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Приобретенные материальные ценности использованы на: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Вручение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/>
      </w:tblPr>
      <w:tblGrid>
        <w:gridCol w:w="2021"/>
        <w:gridCol w:w="2538"/>
        <w:gridCol w:w="3074"/>
        <w:gridCol w:w="1541"/>
        <w:gridCol w:w="951"/>
      </w:tblGrid>
      <w:tr w:rsidR="00280243" w:rsidRPr="00481C18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Должностное лицо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цели (указать какие) ___________________________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/>
      </w:tblPr>
      <w:tblGrid>
        <w:gridCol w:w="2016"/>
        <w:gridCol w:w="2515"/>
        <w:gridCol w:w="3047"/>
        <w:gridCol w:w="1541"/>
        <w:gridCol w:w="946"/>
      </w:tblGrid>
      <w:tr w:rsidR="00280243" w:rsidRPr="00481C18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Должностное лицо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</w:t>
      </w:r>
    </w:p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 листах.</w:t>
      </w:r>
    </w:p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 лица ______________/_____________</w:t>
      </w:r>
    </w:p>
    <w:p w:rsidR="00FC032B" w:rsidRPr="00481C18" w:rsidRDefault="00FC032B" w:rsidP="00FC032B">
      <w:pPr>
        <w:ind w:left="720"/>
        <w:jc w:val="both"/>
        <w:rPr>
          <w:rFonts w:ascii="PT Astra Serif" w:hAnsi="PT Astra Serif"/>
          <w:sz w:val="28"/>
          <w:szCs w:val="28"/>
        </w:rPr>
      </w:pPr>
    </w:p>
    <w:sectPr w:rsidR="00FC032B" w:rsidRPr="00481C18" w:rsidSect="005C29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069"/>
    <w:multiLevelType w:val="multilevel"/>
    <w:tmpl w:val="172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2FD3"/>
    <w:multiLevelType w:val="hybridMultilevel"/>
    <w:tmpl w:val="F4F0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11C1"/>
    <w:multiLevelType w:val="hybridMultilevel"/>
    <w:tmpl w:val="86445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3C"/>
    <w:rsid w:val="00000637"/>
    <w:rsid w:val="000138FC"/>
    <w:rsid w:val="000156CE"/>
    <w:rsid w:val="00015CDE"/>
    <w:rsid w:val="00027571"/>
    <w:rsid w:val="00027A5E"/>
    <w:rsid w:val="000429A4"/>
    <w:rsid w:val="0005482C"/>
    <w:rsid w:val="000572A6"/>
    <w:rsid w:val="00080379"/>
    <w:rsid w:val="00087CCF"/>
    <w:rsid w:val="0009612C"/>
    <w:rsid w:val="000976AF"/>
    <w:rsid w:val="000A0FA6"/>
    <w:rsid w:val="000A1DC0"/>
    <w:rsid w:val="000B480F"/>
    <w:rsid w:val="000C0CAC"/>
    <w:rsid w:val="000E2131"/>
    <w:rsid w:val="00107A6A"/>
    <w:rsid w:val="00136071"/>
    <w:rsid w:val="00140765"/>
    <w:rsid w:val="00154A1E"/>
    <w:rsid w:val="0016213F"/>
    <w:rsid w:val="00181905"/>
    <w:rsid w:val="001A13E9"/>
    <w:rsid w:val="001B353B"/>
    <w:rsid w:val="001C2A42"/>
    <w:rsid w:val="001C3D98"/>
    <w:rsid w:val="001C55AF"/>
    <w:rsid w:val="001E24B0"/>
    <w:rsid w:val="00203DD6"/>
    <w:rsid w:val="00215CA4"/>
    <w:rsid w:val="0022707C"/>
    <w:rsid w:val="0024023C"/>
    <w:rsid w:val="00272E77"/>
    <w:rsid w:val="00280243"/>
    <w:rsid w:val="00294F50"/>
    <w:rsid w:val="002A4634"/>
    <w:rsid w:val="002B665F"/>
    <w:rsid w:val="002C24E9"/>
    <w:rsid w:val="002C7E8A"/>
    <w:rsid w:val="00300C21"/>
    <w:rsid w:val="003174F7"/>
    <w:rsid w:val="0033134A"/>
    <w:rsid w:val="00356496"/>
    <w:rsid w:val="00374A4C"/>
    <w:rsid w:val="00383CE9"/>
    <w:rsid w:val="003A09F9"/>
    <w:rsid w:val="003A4FA2"/>
    <w:rsid w:val="003B4B71"/>
    <w:rsid w:val="003F79E5"/>
    <w:rsid w:val="004008E9"/>
    <w:rsid w:val="00401C55"/>
    <w:rsid w:val="00417D85"/>
    <w:rsid w:val="004546F7"/>
    <w:rsid w:val="00471C37"/>
    <w:rsid w:val="00481C18"/>
    <w:rsid w:val="00483EB8"/>
    <w:rsid w:val="00486716"/>
    <w:rsid w:val="004A1FC6"/>
    <w:rsid w:val="00513C53"/>
    <w:rsid w:val="00516FA6"/>
    <w:rsid w:val="00516FB2"/>
    <w:rsid w:val="0055605C"/>
    <w:rsid w:val="00575738"/>
    <w:rsid w:val="0058144F"/>
    <w:rsid w:val="0058624E"/>
    <w:rsid w:val="00590E05"/>
    <w:rsid w:val="0059340D"/>
    <w:rsid w:val="005B1A59"/>
    <w:rsid w:val="005C2929"/>
    <w:rsid w:val="005D3C1D"/>
    <w:rsid w:val="005D7695"/>
    <w:rsid w:val="005E5464"/>
    <w:rsid w:val="005F0465"/>
    <w:rsid w:val="00610757"/>
    <w:rsid w:val="006164C8"/>
    <w:rsid w:val="00634E40"/>
    <w:rsid w:val="00644265"/>
    <w:rsid w:val="00652B89"/>
    <w:rsid w:val="00662CF4"/>
    <w:rsid w:val="006670A9"/>
    <w:rsid w:val="006672A7"/>
    <w:rsid w:val="00673B5E"/>
    <w:rsid w:val="0069268F"/>
    <w:rsid w:val="00693794"/>
    <w:rsid w:val="00696252"/>
    <w:rsid w:val="006B16F7"/>
    <w:rsid w:val="006D0EBA"/>
    <w:rsid w:val="006E0506"/>
    <w:rsid w:val="006F0CE3"/>
    <w:rsid w:val="006F4249"/>
    <w:rsid w:val="007103F0"/>
    <w:rsid w:val="00733EF8"/>
    <w:rsid w:val="00750531"/>
    <w:rsid w:val="00756B34"/>
    <w:rsid w:val="0076523F"/>
    <w:rsid w:val="007667D7"/>
    <w:rsid w:val="007673E0"/>
    <w:rsid w:val="007903E7"/>
    <w:rsid w:val="007B4679"/>
    <w:rsid w:val="007C3169"/>
    <w:rsid w:val="007D39F5"/>
    <w:rsid w:val="007D6EA0"/>
    <w:rsid w:val="007E15F4"/>
    <w:rsid w:val="0080797A"/>
    <w:rsid w:val="00817BAC"/>
    <w:rsid w:val="00885163"/>
    <w:rsid w:val="00893129"/>
    <w:rsid w:val="008A5BBE"/>
    <w:rsid w:val="008B114E"/>
    <w:rsid w:val="008C3A76"/>
    <w:rsid w:val="009072B1"/>
    <w:rsid w:val="00925BC6"/>
    <w:rsid w:val="00972436"/>
    <w:rsid w:val="00983580"/>
    <w:rsid w:val="009B418D"/>
    <w:rsid w:val="009D2FF6"/>
    <w:rsid w:val="009D759D"/>
    <w:rsid w:val="009E7267"/>
    <w:rsid w:val="009F6DFA"/>
    <w:rsid w:val="00A00FE5"/>
    <w:rsid w:val="00A27307"/>
    <w:rsid w:val="00A35747"/>
    <w:rsid w:val="00A6387F"/>
    <w:rsid w:val="00A87AAB"/>
    <w:rsid w:val="00AF1697"/>
    <w:rsid w:val="00AF722A"/>
    <w:rsid w:val="00B026C3"/>
    <w:rsid w:val="00B03ED0"/>
    <w:rsid w:val="00B20467"/>
    <w:rsid w:val="00B24CE3"/>
    <w:rsid w:val="00B451F1"/>
    <w:rsid w:val="00B54863"/>
    <w:rsid w:val="00B56940"/>
    <w:rsid w:val="00B62AA3"/>
    <w:rsid w:val="00B84AF4"/>
    <w:rsid w:val="00B9058A"/>
    <w:rsid w:val="00B93DFC"/>
    <w:rsid w:val="00BA5CA3"/>
    <w:rsid w:val="00BE5F09"/>
    <w:rsid w:val="00BF0066"/>
    <w:rsid w:val="00C10F17"/>
    <w:rsid w:val="00C15CEB"/>
    <w:rsid w:val="00C40EBC"/>
    <w:rsid w:val="00C42548"/>
    <w:rsid w:val="00C43AD2"/>
    <w:rsid w:val="00C46195"/>
    <w:rsid w:val="00C547E0"/>
    <w:rsid w:val="00C64BEC"/>
    <w:rsid w:val="00CC2478"/>
    <w:rsid w:val="00CC56F9"/>
    <w:rsid w:val="00D04DCD"/>
    <w:rsid w:val="00D465E0"/>
    <w:rsid w:val="00D65824"/>
    <w:rsid w:val="00D80512"/>
    <w:rsid w:val="00DD63B5"/>
    <w:rsid w:val="00E02520"/>
    <w:rsid w:val="00E272E1"/>
    <w:rsid w:val="00E425CE"/>
    <w:rsid w:val="00E46F3C"/>
    <w:rsid w:val="00E5200A"/>
    <w:rsid w:val="00E649C1"/>
    <w:rsid w:val="00E7668F"/>
    <w:rsid w:val="00E83FEA"/>
    <w:rsid w:val="00E84265"/>
    <w:rsid w:val="00EA08AC"/>
    <w:rsid w:val="00EA3FB3"/>
    <w:rsid w:val="00ED3A0F"/>
    <w:rsid w:val="00F101FC"/>
    <w:rsid w:val="00F243B4"/>
    <w:rsid w:val="00F336FD"/>
    <w:rsid w:val="00F35790"/>
    <w:rsid w:val="00F72242"/>
    <w:rsid w:val="00F73FF7"/>
    <w:rsid w:val="00F86152"/>
    <w:rsid w:val="00FA25BF"/>
    <w:rsid w:val="00FA6006"/>
    <w:rsid w:val="00FC032B"/>
    <w:rsid w:val="00FE0351"/>
    <w:rsid w:val="00FE168E"/>
    <w:rsid w:val="00FF1DD0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243"/>
    <w:rPr>
      <w:color w:val="0000FF"/>
      <w:u w:val="single"/>
    </w:rPr>
  </w:style>
  <w:style w:type="paragraph" w:styleId="a9">
    <w:name w:val="No Spacing"/>
    <w:uiPriority w:val="1"/>
    <w:qFormat/>
    <w:rsid w:val="00C461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81177569BE26D5E6DD21F375D94E2C7584100D9E4FD88594E3316FB6EBE550E2841BA255AE737346291sBs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E81177569BE26D5E6DD21F375D94E2C7584100D9E4FD88594E3316FB6EBE550E2841BA255AE737346397sBsA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E81177569BE26D5E6DD21F375D94E2C7584100D9E4FD88594E3316FB6EBE550E2841BA255AE737346294sBs6D" TargetMode="External"/><Relationship Id="rId11" Type="http://schemas.openxmlformats.org/officeDocument/2006/relationships/hyperlink" Target="consultantplus://offline/ref=E1E81177569BE26D5E6DD21F375D94E2C7584100D9E4FD88594E3316FB6EBE550E2841BA255AE737346395sBs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E81177569BE26D5E6DD21F375D94E2C7584100D9E4FD88594E3316FB6EBE550E2841BA255AE737346395sBs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81177569BE26D5E6DD21F375D94E2C7584100D9E4FD88594E3316FB6EBE550E2841BA255AE73734629FsBs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B5F4-47E3-4D4F-82EF-EB0497A3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Glava_rayona</dc:creator>
  <cp:keywords/>
  <dc:description/>
  <cp:lastModifiedBy>Волшебник</cp:lastModifiedBy>
  <cp:revision>29</cp:revision>
  <cp:lastPrinted>2024-12-24T09:17:00Z</cp:lastPrinted>
  <dcterms:created xsi:type="dcterms:W3CDTF">2024-12-01T06:28:00Z</dcterms:created>
  <dcterms:modified xsi:type="dcterms:W3CDTF">2024-12-24T09:18:00Z</dcterms:modified>
</cp:coreProperties>
</file>