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533" w:val="left"/>
        </w:tabs>
        <w:ind/>
        <w:rPr>
          <w:rFonts w:ascii="Arial" w:hAnsi="Arial"/>
        </w:rPr>
      </w:pPr>
    </w:p>
    <w:p w14:paraId="02000000">
      <w:pPr>
        <w:tabs>
          <w:tab w:leader="none" w:pos="1533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Васильчуковское сельское Собрание депутатов</w:t>
      </w:r>
    </w:p>
    <w:p w14:paraId="03000000">
      <w:pPr>
        <w:tabs>
          <w:tab w:leader="none" w:pos="1533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Ключевского района Алтайского края</w:t>
      </w:r>
    </w:p>
    <w:p w14:paraId="04000000">
      <w:pPr>
        <w:tabs>
          <w:tab w:leader="none" w:pos="1533" w:val="left"/>
        </w:tabs>
        <w:ind/>
        <w:jc w:val="center"/>
        <w:rPr>
          <w:rFonts w:ascii="Times New Roman" w:hAnsi="Times New Roman"/>
        </w:rPr>
      </w:pPr>
    </w:p>
    <w:p w14:paraId="05000000">
      <w:pPr>
        <w:tabs>
          <w:tab w:leader="none" w:pos="1533" w:val="left"/>
        </w:tabs>
        <w:ind/>
        <w:jc w:val="center"/>
        <w:rPr>
          <w:rFonts w:ascii="Times New Roman" w:hAnsi="Times New Roman"/>
        </w:rPr>
      </w:pPr>
    </w:p>
    <w:p w14:paraId="06000000">
      <w:pPr>
        <w:tabs>
          <w:tab w:leader="none" w:pos="1533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14:paraId="07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10.04.2024                                                                                                                               № 58</w:t>
      </w:r>
    </w:p>
    <w:p w14:paraId="08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с. Васильчуки</w:t>
      </w:r>
    </w:p>
    <w:p w14:paraId="09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</w:p>
    <w:p w14:paraId="0A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и дополнений в  решение</w:t>
      </w:r>
    </w:p>
    <w:p w14:paraId="0B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Васильчуковского        сельского          Собрания</w:t>
      </w:r>
    </w:p>
    <w:p w14:paraId="0C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депутатов           Ключевского       района          от</w:t>
      </w:r>
    </w:p>
    <w:p w14:paraId="0D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24.05.2021    № 113 «Об утверждении </w:t>
      </w:r>
      <w:r>
        <w:rPr>
          <w:rFonts w:ascii="Times New Roman" w:hAnsi="Times New Roman"/>
        </w:rPr>
        <w:t>положения</w:t>
      </w:r>
    </w:p>
    <w:p w14:paraId="0E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   комиссии   по    соблюдению    </w:t>
      </w:r>
      <w:r>
        <w:rPr>
          <w:rFonts w:ascii="Times New Roman" w:hAnsi="Times New Roman"/>
        </w:rPr>
        <w:t>требований   к</w:t>
      </w:r>
    </w:p>
    <w:p w14:paraId="0F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служебному        поведению       </w:t>
      </w:r>
      <w:r>
        <w:rPr>
          <w:rFonts w:ascii="Times New Roman" w:hAnsi="Times New Roman"/>
        </w:rPr>
        <w:t xml:space="preserve">муниципальных </w:t>
      </w:r>
    </w:p>
    <w:p w14:paraId="10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служащих    администрации     </w:t>
      </w:r>
      <w:r>
        <w:rPr>
          <w:rFonts w:ascii="Times New Roman" w:hAnsi="Times New Roman"/>
        </w:rPr>
        <w:t xml:space="preserve">Васильчуковского </w:t>
      </w:r>
    </w:p>
    <w:p w14:paraId="11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сельсовета Ключевского </w:t>
      </w:r>
      <w:r>
        <w:rPr>
          <w:rFonts w:ascii="Times New Roman" w:hAnsi="Times New Roman"/>
        </w:rPr>
        <w:t>района Алтайского края</w:t>
      </w:r>
    </w:p>
    <w:p w14:paraId="12000000">
      <w:pPr>
        <w:tabs>
          <w:tab w:leader="none" w:pos="1533" w:val="left"/>
        </w:tabs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урегулированию </w:t>
      </w:r>
      <w:r>
        <w:rPr>
          <w:rFonts w:ascii="Times New Roman" w:hAnsi="Times New Roman"/>
        </w:rPr>
        <w:t>конфликта интересов»</w:t>
      </w:r>
    </w:p>
    <w:p w14:paraId="13000000">
      <w:pPr>
        <w:tabs>
          <w:tab w:leader="none" w:pos="1533" w:val="left"/>
        </w:tabs>
        <w:ind/>
        <w:jc w:val="left"/>
        <w:rPr>
          <w:rFonts w:ascii="Arial" w:hAnsi="Arial"/>
        </w:rPr>
      </w:pPr>
    </w:p>
    <w:p w14:paraId="14000000">
      <w:pPr>
        <w:spacing w:before="2"/>
        <w:ind w:firstLine="0" w:left="0" w:right="124"/>
        <w:jc w:val="both"/>
      </w:pPr>
      <w:r>
        <w:rPr>
          <w:b w:val="1"/>
          <w:i w:val="1"/>
          <w:sz w:val="25"/>
        </w:rPr>
        <w:t xml:space="preserve">        </w:t>
      </w:r>
      <w:r>
        <w:t xml:space="preserve">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Указами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интересов»,Указом Президента Российской Федерации от 25.01.2024 № 71 «О внесении изменений в некоторые акты Президента РФ», от 21.07.2010 года № 925 «О мерах по реализации отдельных положений Федерального закона «О противодействии коррупции», </w:t>
      </w:r>
      <w:r>
        <w:t>Васильчуковское</w:t>
      </w:r>
      <w:r>
        <w:t xml:space="preserve"> сельское Собрание депутатов Решило:</w:t>
      </w:r>
    </w:p>
    <w:p w14:paraId="15000000">
      <w:pPr>
        <w:spacing w:before="2"/>
        <w:ind w:firstLine="0" w:left="0" w:right="124"/>
        <w:jc w:val="both"/>
      </w:pPr>
    </w:p>
    <w:p w14:paraId="16000000">
      <w:pPr>
        <w:numPr>
          <w:numId w:val="1"/>
        </w:numPr>
        <w:spacing w:before="2"/>
        <w:ind w:right="124"/>
        <w:jc w:val="both"/>
      </w:pPr>
      <w:r>
        <w:t>пп «а» п.3 Положения изложить в следующей редакции:</w:t>
      </w:r>
    </w:p>
    <w:p w14:paraId="17000000">
      <w:pPr>
        <w:spacing w:before="2"/>
        <w:ind w:right="124"/>
        <w:jc w:val="both"/>
        <w:rPr>
          <w:sz w:val="24"/>
        </w:rPr>
      </w:pPr>
      <w:r>
        <w:t>«</w:t>
      </w:r>
      <w:r>
        <w:rPr>
          <w:sz w:val="24"/>
        </w:rPr>
        <w:t xml:space="preserve"> в обеспечении соблюдения муниципальными служащими ограничений и запретов, требований о предотвращении или об урегулировании конфликта интересов,исполнения обязанностей, установленных Федеральным законом от 25.12.2008 г. № 273 – 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интересов».</w:t>
      </w:r>
    </w:p>
    <w:p w14:paraId="18000000">
      <w:pPr>
        <w:numPr>
          <w:numId w:val="1"/>
        </w:numPr>
        <w:spacing w:before="2"/>
        <w:ind w:right="124"/>
        <w:jc w:val="both"/>
        <w:rPr>
          <w:sz w:val="24"/>
        </w:rPr>
      </w:pPr>
      <w:r>
        <w:rPr>
          <w:sz w:val="24"/>
        </w:rPr>
        <w:t>п.13 Положения дополнить пп. «е»</w:t>
      </w:r>
    </w:p>
    <w:p w14:paraId="19000000">
      <w:pPr>
        <w:spacing w:before="2"/>
        <w:ind w:right="124"/>
        <w:jc w:val="both"/>
        <w:rPr>
          <w:sz w:val="24"/>
        </w:rPr>
      </w:pPr>
      <w:r>
        <w:rPr>
          <w:sz w:val="24"/>
        </w:rPr>
        <w:t>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14:paraId="1A000000">
      <w:pPr>
        <w:numPr>
          <w:numId w:val="1"/>
        </w:numPr>
        <w:ind w:hanging="360" w:left="720"/>
        <w:jc w:val="both"/>
        <w:rPr>
          <w:sz w:val="24"/>
        </w:rPr>
      </w:pPr>
      <w:r>
        <w:rPr>
          <w:sz w:val="24"/>
        </w:rPr>
        <w:t>п.15 Положения изложить в следующей редакции:</w:t>
      </w:r>
    </w:p>
    <w:p w14:paraId="1B000000">
      <w:pPr>
        <w:ind w:hanging="360" w:left="11"/>
        <w:jc w:val="both"/>
        <w:rPr>
          <w:sz w:val="24"/>
        </w:rPr>
      </w:pPr>
      <w:r>
        <w:rPr>
          <w:sz w:val="24"/>
        </w:rPr>
        <w:t xml:space="preserve">« </w:t>
      </w:r>
      <w:r>
        <w:rPr>
          <w:sz w:val="24"/>
        </w:rPr>
        <w:t>Мотивированные заключения, предусмотренные пунктами</w:t>
      </w:r>
      <w:r>
        <w:rPr>
          <w:spacing w:val="48"/>
          <w:sz w:val="24"/>
        </w:rPr>
        <w:t xml:space="preserve"> </w:t>
      </w:r>
      <w:r>
        <w:rPr>
          <w:sz w:val="24"/>
        </w:rPr>
        <w:t>14.1,14.3 и 14.4 настоящего Положения, должны содержать:</w:t>
      </w:r>
    </w:p>
    <w:p w14:paraId="1C000000">
      <w:pPr>
        <w:ind w:hanging="360" w:left="11"/>
        <w:jc w:val="both"/>
        <w:rPr>
          <w:sz w:val="24"/>
        </w:rPr>
      </w:pPr>
      <w:r>
        <w:rPr>
          <w:sz w:val="24"/>
        </w:rPr>
        <w:t>а) информацию, изложенную в обращениях или уведомлениях, указанных в абзацах втором и пятом подпункта "б" и подпунктах «д» и «е» пункта 13 настоящего Положения;</w:t>
      </w:r>
    </w:p>
    <w:p w14:paraId="1D000000">
      <w:pPr>
        <w:ind w:hanging="360" w:left="11"/>
        <w:jc w:val="both"/>
        <w:rPr>
          <w:sz w:val="24"/>
        </w:rPr>
      </w:pPr>
      <w:r>
        <w:rPr>
          <w:sz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E000000">
      <w:pPr>
        <w:ind w:hanging="360" w:left="11"/>
        <w:jc w:val="both"/>
        <w:rPr>
          <w:sz w:val="24"/>
        </w:rPr>
      </w:pPr>
      <w:r>
        <w:rPr>
          <w:sz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«б",  подпунктах "д" и «е» пункта 13 настоящего Положения, а также рекомендации для принятия одного из решений в соответствии с пунктами 22, 23.3, 24.1 настоящего Положения или иного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решения.»</w:t>
      </w:r>
    </w:p>
    <w:p w14:paraId="1F000000">
      <w:pPr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пункт 16.2 Положения изложить в следующей редакции: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>Уведомления, указанные в подпунктах «д» и «е» пункта 13 настоящего Положения, как правило, рассматривается на очередном (плановом) 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комиссии.»</w:t>
      </w:r>
    </w:p>
    <w:p w14:paraId="21000000">
      <w:pPr>
        <w:ind/>
        <w:jc w:val="both"/>
        <w:rPr>
          <w:sz w:val="24"/>
        </w:rPr>
      </w:pPr>
    </w:p>
    <w:p w14:paraId="22000000">
      <w:pPr>
        <w:numPr>
          <w:numId w:val="1"/>
        </w:numPr>
        <w:spacing w:before="2"/>
        <w:ind w:right="124"/>
        <w:jc w:val="both"/>
        <w:rPr>
          <w:sz w:val="24"/>
        </w:rPr>
      </w:pPr>
      <w:r>
        <w:rPr>
          <w:sz w:val="24"/>
        </w:rPr>
        <w:t>Пункты 17 и 17.1 Положения изложить в следующей редакции:</w:t>
      </w:r>
    </w:p>
    <w:p w14:paraId="23000000">
      <w:pPr>
        <w:spacing w:before="2"/>
        <w:ind w:right="124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13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14:paraId="24000000">
      <w:pPr>
        <w:ind w:firstLine="707" w:left="102"/>
        <w:jc w:val="both"/>
        <w:rPr>
          <w:sz w:val="24"/>
        </w:rPr>
      </w:pPr>
      <w:r>
        <w:rPr>
          <w:sz w:val="24"/>
        </w:rPr>
        <w:t>17.1.</w:t>
      </w:r>
      <w:r>
        <w:rPr>
          <w:sz w:val="24"/>
        </w:rPr>
        <w:t>Заседание комиссии может проводиться в отсутствие муниципального служащего, или гражданина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14:paraId="25000000">
      <w:pPr>
        <w:ind w:firstLine="707" w:left="102"/>
        <w:jc w:val="both"/>
        <w:rPr>
          <w:sz w:val="24"/>
        </w:rPr>
      </w:pPr>
      <w:r>
        <w:rPr>
          <w:sz w:val="24"/>
        </w:rPr>
        <w:t>а) если в обращении, заявлении или уведомлении, предусмотренных подпунктами «б» и «е» пункта 13 настоящего Положения, не содержится указания о намерении</w:t>
      </w:r>
      <w:r>
        <w:rPr>
          <w:sz w:val="24"/>
        </w:rPr>
        <w:tab/>
      </w:r>
      <w:r>
        <w:rPr>
          <w:sz w:val="24"/>
        </w:rPr>
        <w:t>муниципального</w:t>
      </w:r>
      <w:r>
        <w:rPr>
          <w:sz w:val="24"/>
        </w:rPr>
        <w:tab/>
      </w:r>
      <w:r>
        <w:rPr>
          <w:sz w:val="24"/>
        </w:rPr>
        <w:t>служащего</w:t>
      </w:r>
      <w:r>
        <w:rPr>
          <w:sz w:val="24"/>
        </w:rPr>
        <w:tab/>
      </w:r>
      <w:r>
        <w:rPr>
          <w:sz w:val="24"/>
        </w:rPr>
        <w:t>или</w:t>
      </w:r>
      <w:r>
        <w:rPr>
          <w:sz w:val="24"/>
        </w:rPr>
        <w:tab/>
      </w:r>
      <w:r>
        <w:rPr>
          <w:sz w:val="24"/>
        </w:rPr>
        <w:t>гражданина</w:t>
      </w:r>
      <w:r>
        <w:rPr>
          <w:sz w:val="24"/>
        </w:rPr>
        <w:tab/>
      </w:r>
      <w:r>
        <w:rPr>
          <w:sz w:val="24"/>
        </w:rPr>
        <w:t>лично   присутствовать на заседании комиссии;</w:t>
      </w:r>
    </w:p>
    <w:p w14:paraId="26000000">
      <w:pPr>
        <w:ind w:firstLine="707" w:left="102"/>
        <w:jc w:val="both"/>
        <w:rPr>
          <w:sz w:val="24"/>
        </w:rPr>
      </w:pPr>
      <w:r>
        <w:rPr>
          <w:sz w:val="24"/>
        </w:rPr>
        <w:t>б) если муниципальный служащий, или гражданин, намеревающийся лично присутствовать на заседании комиссии и надлежащим образом извещенный о времени и месте его проведения, не явились на заседание комиссии.</w:t>
      </w:r>
    </w:p>
    <w:p w14:paraId="27000000">
      <w:pPr>
        <w:spacing w:before="2"/>
        <w:ind w:right="124"/>
        <w:jc w:val="both"/>
        <w:rPr>
          <w:sz w:val="24"/>
        </w:rPr>
      </w:pPr>
    </w:p>
    <w:p w14:paraId="28000000">
      <w:pPr>
        <w:numPr>
          <w:numId w:val="1"/>
        </w:num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Дополнить Положение п.23.4 абзацем следующего содержания:</w:t>
      </w:r>
    </w:p>
    <w:p w14:paraId="29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По итогам рассмотрения вопроса, указанного в подпункте «е» пункта 13 настоящего Положения, комиссия принимает одно из следующих решение:</w:t>
      </w:r>
    </w:p>
    <w:p w14:paraId="2A000000">
      <w:pPr>
        <w:numPr>
          <w:numId w:val="2"/>
        </w:num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 наличие причинно – 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B000000">
      <w:pPr>
        <w:numPr>
          <w:numId w:val="2"/>
        </w:num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 отсутствие причинно – 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урегулированию конфликта интересов»</w:t>
      </w:r>
    </w:p>
    <w:p w14:paraId="2C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Пункт 24 Положения изложить в следующей редакции:</w:t>
      </w:r>
    </w:p>
    <w:p w14:paraId="2D000000">
      <w:pPr>
        <w:ind w:firstLine="707" w:left="102"/>
        <w:jc w:val="both"/>
        <w:rPr>
          <w:sz w:val="24"/>
        </w:rPr>
      </w:pPr>
      <w:r>
        <w:rPr>
          <w:sz w:val="24"/>
        </w:rPr>
        <w:t xml:space="preserve">« </w:t>
      </w:r>
      <w:r>
        <w:rPr>
          <w:sz w:val="24"/>
        </w:rPr>
        <w:t>По итогам рассмотрения вопросов, указанных в подпункта «а»,</w:t>
      </w:r>
      <w:r>
        <w:rPr>
          <w:spacing w:val="26"/>
          <w:sz w:val="24"/>
        </w:rPr>
        <w:t xml:space="preserve"> </w:t>
      </w:r>
      <w:r>
        <w:rPr>
          <w:sz w:val="24"/>
        </w:rPr>
        <w:t>«б»,</w:t>
      </w:r>
      <w:r>
        <w:rPr>
          <w:sz w:val="24"/>
        </w:rPr>
        <w:t xml:space="preserve"> </w:t>
      </w:r>
      <w:r>
        <w:rPr>
          <w:sz w:val="24"/>
        </w:rPr>
        <w:t>«г»  «д» и «е» пункта 13 настоящего Положения, и при наличии к тому оснований комиссия может принять иное решение, чем это предусмотрено пунктами 20- 23., 23.1.-23.3. и 24.1. настоящего Положения. Основания и мотивы принятия такого решения должны быть отражены в протоколе заседания комиссии.</w:t>
      </w:r>
    </w:p>
    <w:p w14:paraId="2E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</w:p>
    <w:p w14:paraId="2F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Настоящее решение опубликовать в установленном законом порядке.</w:t>
      </w:r>
    </w:p>
    <w:p w14:paraId="30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Контроль за исполнением настоящего решения возложить на постоянную комиссию по местному самоуправлению, социальным и кадровым вопросам (В.Н. Савченко)</w:t>
      </w:r>
    </w:p>
    <w:p w14:paraId="31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</w:p>
    <w:p w14:paraId="32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</w:p>
    <w:p w14:paraId="33000000">
      <w:pPr>
        <w:tabs>
          <w:tab w:leader="none" w:pos="153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сельсовета                                                             Т.Д. Головачева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2024-04-08T04:15:35Z</dcterms:modified>
</cp:coreProperties>
</file>