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22A95" w14:textId="77777777" w:rsidR="0074511A" w:rsidRDefault="0074511A">
      <w:pPr>
        <w:spacing w:line="276" w:lineRule="auto"/>
        <w:divId w:val="1537622445"/>
      </w:pPr>
      <w:bookmarkStart w:id="0" w:name="_GoBack"/>
      <w:bookmarkEnd w:id="0"/>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Ключевского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2024</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6EBD965A" w14:textId="77777777" w:rsidR="0074511A" w:rsidRDefault="0074511A">
      <w:pPr>
        <w:spacing w:after="240" w:line="276" w:lineRule="auto"/>
        <w:divId w:val="1537622445"/>
      </w:pPr>
      <w:r>
        <w:br/>
      </w:r>
      <w:r>
        <w:br/>
      </w:r>
    </w:p>
    <w:p w14:paraId="7A3DFD5E" w14:textId="77777777" w:rsidR="0074511A" w:rsidRDefault="0074511A" w:rsidP="008E0719">
      <w:pPr>
        <w:spacing w:before="240" w:after="240" w:line="276" w:lineRule="auto"/>
        <w:jc w:val="center"/>
        <w:divId w:val="223301121"/>
      </w:pPr>
      <w:r>
        <w:rPr>
          <w:rStyle w:val="a3"/>
          <w:sz w:val="28"/>
          <w:szCs w:val="28"/>
        </w:rPr>
        <w:t xml:space="preserve">Промышленное производство </w:t>
      </w:r>
    </w:p>
    <w:p w14:paraId="7967FFEC" w14:textId="0AE79FEA" w:rsidR="0074511A" w:rsidRPr="001F1010" w:rsidRDefault="001F1010" w:rsidP="001F1010">
      <w:pPr>
        <w:spacing w:line="276" w:lineRule="auto"/>
        <w:jc w:val="both"/>
        <w:divId w:val="223301121"/>
      </w:pPr>
      <w:r w:rsidRPr="001F1010">
        <w:t>За 2024 год отгружено товаров собственного производства, выполнено работ и услуг в объеме 201,41 млн. рублей, что на 10% больше по сравнению с аналогичным периодом прошлого года. Индекс промышленного производства составил 109,3% в сопоставимой оценке к уровню прошлого года. В рейтинге муниципальных образований по итогам 2024 года, МО Ключевский район по объему промышленного производства на душу населения занимает 43 место, а по индексу промышленного производства 15 строчку краевого рейтинга. На территории района в настоящее время крупные обрабатывающие предприятия отсутствуют, а это как раз этот фактор, который не позволяет обеспечить высокий темп роста объемов промышленного производства.</w:t>
      </w:r>
    </w:p>
    <w:p w14:paraId="25D208A8" w14:textId="77777777"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14:paraId="53D2D3CA" w14:textId="00E9C93E" w:rsidR="0074511A" w:rsidRPr="008E0719" w:rsidRDefault="00954C8F" w:rsidP="001F1010">
      <w:pPr>
        <w:spacing w:line="276" w:lineRule="auto"/>
        <w:jc w:val="both"/>
        <w:divId w:val="1450320109"/>
      </w:pPr>
      <w:r w:rsidRPr="008E0719">
        <w:t xml:space="preserve">Сельскохозяйственным производством в районе занималось 97 хозяйств, в т.ч. 1 – СПК, 7 – общества с ограниченной ответственностью, 89 крестьянско-фермерских хозяйств. Хозяйствами обрабатывалось 159,1 тыс.га пашни, в т.ч. КФХ – 126,5 тыс. га или 80% от всей пашни района, коллективными – 32,6 тыс.га или 20% от общей пашни. Посевная площадь составила 130,6 тыс.га, в т.ч. площадь занимаемая зерновыми культурами – 64,4 тыс.га (49% от посевной площади), посевная площадь подсолнечника – 62,8 тыс.га  (48% от посевной площади). Площадь занятая кормовыми культурами составляла 3 тыс.га (2,3% от посевной площади), площадь пара составила 21,3 тыс.га (13% от общей площади пашни). Для повышения урожайности и увеличения валового производства сельскохозяйственных культур, сельхозтоваропроизводители района вместе с применением энергосберегающих технологий приобрели под посев 2024 года 545 тонн элитных семян высокоурожайных сортов различных культур, внесли 480 тонн минеральных удобрений. Все эти мероприятия, в комплексе, позволили хозяйствам района в текущем году сохранить лидерство по производству и урожайности зерновых культур по Западно-Кулундинской климатической зоне. С посевной площади собрано 78 тыс.тонн высококачественного зерна, при урожайности 11,1 ц/га.   Подсолнечника получено в объёме 63 тыс.тонн, средняя урожайность составила 8,8 ц/га.  На 01.01.2025 года поголовье КРС в сельхозорганизациях, крестьянских (фермерских) хозяйствах и индивидуальных предпринимателей района составило 3808 голов – 93,9% к уровню 2023 года, в том числе коров – 1531 головы, что составляет 100,9% к уровню 2023 года. Молочная продуктивность в сельхозорганизациях  на одну фуражную корову составила 4771 кг. Среднесуточный прирост в сельхозорганизациях, крестьянских (фермерских) хозяйствах и индивидуальных предпринимателей составил 353 грамма. Производство молока за год в сельхозорганизациях, крестьянских (фермерских) хозяйствах и </w:t>
      </w:r>
      <w:r w:rsidRPr="008E0719">
        <w:lastRenderedPageBreak/>
        <w:t>индивидуальных предпринимателей составило 5088 т. В 2024 году КХ Гукова А.В. было реализовано 299 голов племенных овец.В личных подсобных хозяйствах закуплено 1 868 тонн молока на сумму 39,1 млн.рублей,  и 173 т мяса в живом весе на сумму 20,7 млн.рублей. В 2024 году животноводами района заготовлено грубых и сочных кормов по 26,3 ц кормовых единиц на 1 условную голову. Всего за 2024 год хозяйствами всех форм собственности реализовано сельскохозяйственной продукции на сумму  2,4 млрд. рублей, в том числе сельхозпредприятиями – 857 млн.рублей, крестьянскими хозяйствами – 1539,8 млн.рублей, средняя заработная плата в отрасли сельского хозяйства составила 34 587 рублей, что составляет 120% к уровню 2023 года. Государственная поддержка оказана в 2024 году оказана на сумму 72 млн.рублей, в том числе:Несвязанная поддержка на 1 га – 13 млн.рублей,Поддержка элитного семеноводства –  12,8млн.рублейРеализация зерновых – 3 млн.рублейЗа производство молока – 2,2 млн.рублейПлеменное направление  - 1,1 млн.рублейАгроСтартап, кооперативы – 14,7 млн.рублейОрошение    - 5,8 млн.рублейСтрахование     -1,8 млн.рублейХимическая обработка  сельхозкультур   - 2,3 млн.рублейТехническое перевооружение – 13,4 млн.рублей.         </w:t>
      </w:r>
    </w:p>
    <w:p w14:paraId="5A13D8F4" w14:textId="77777777"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14:paraId="5AFDAD4B" w14:textId="4DAB013A" w:rsidR="0074511A" w:rsidRPr="008E0719" w:rsidRDefault="00954C8F" w:rsidP="001F1010">
      <w:pPr>
        <w:spacing w:line="276" w:lineRule="auto"/>
        <w:jc w:val="both"/>
        <w:divId w:val="1006633197"/>
      </w:pPr>
      <w:r w:rsidRPr="00954C8F">
        <w:t>По итогам 2024 года объем инвестиций в основной капитал по крупным и средним предприятиям района за счет всех источников финансирования составил 138,6 млн.рублей. Темп роста к прошлому году составил 223%. Динамика инвестиций не всегда стабильна, потому что район аграрный, а основными инвесторами в основной капитал являются сельскохозяйственные товаропроизводители, инвестиционная активность которых напрямую зависит от рентабельности предприятий по итогам агрономического года. Предприятиями АПК в 2024 году приобретено сельскохозяйственной техники и направлено на строительство объектов сельхозназначения около 85 млн.руб., что в 3 раза ниже уровня прошлого года. Одна из причин снижения объемов инвестиций в отрасли сельского хозяйства в отчетном году- низкий уровень закупочных цен и качества продукции по зерновым культурам. В 2024 году реализация проектов в рамках национальных проектов на территории района не осуществлялась, так как заявленные объекты не вошли в перечень проектов краевой адресной инвестиционной программы. В рамках государственной программы Алтайского края "Развитие транспортной системы Алтайского края" и на основании Соглашения с Министерством транспорта в прошлом году реализован проект по Ремонту уличной дорожной сети (участок по ул. Центральная -пер. Кулундинский). Объем финансирования составил  3 млн.рублей. В отчётном году Ключевский район продолжил активно участвовать в реализации проектов поддержки местных инициатив граждан. Так районом реализовано 6 проектов поддержки местных инициатив за счет субсидий Министерства финансов Алтайского края на развитие общественной инфраструктуры «Алтайпредлагай». Общая стоимость реализованных проектов составила более 10 млн. рублей. Были реализованы следующие проекты:</w:t>
      </w:r>
      <w:r w:rsidRPr="00954C8F">
        <w:t>    Обустроена детская спортивная площадка в с.Северка;</w:t>
      </w:r>
      <w:r w:rsidRPr="00954C8F">
        <w:t>    Проведен монтаж уличного освещения в п.Целинный;</w:t>
      </w:r>
      <w:r w:rsidRPr="00954C8F">
        <w:t>    Благоустройство кладбища в с.Платовка, Нововознесенка, Новополтава и в с.Петухи; </w:t>
      </w:r>
    </w:p>
    <w:p w14:paraId="50EDF568" w14:textId="77777777" w:rsidR="0074511A" w:rsidRDefault="0074511A" w:rsidP="008E0719">
      <w:pPr>
        <w:spacing w:before="240" w:after="240" w:line="276" w:lineRule="auto"/>
        <w:jc w:val="center"/>
        <w:divId w:val="672149918"/>
      </w:pPr>
      <w:r>
        <w:rPr>
          <w:rStyle w:val="a3"/>
          <w:sz w:val="28"/>
          <w:szCs w:val="28"/>
        </w:rPr>
        <w:lastRenderedPageBreak/>
        <w:t xml:space="preserve">Состояние малого и среднего предпринимательства, меры государственной поддержки малого и среднего предпринимательства </w:t>
      </w:r>
    </w:p>
    <w:p w14:paraId="2ED7AA63" w14:textId="40FFA276" w:rsidR="0074511A" w:rsidRPr="001F1010" w:rsidRDefault="001F1010" w:rsidP="001F1010">
      <w:pPr>
        <w:spacing w:line="276" w:lineRule="auto"/>
        <w:jc w:val="both"/>
        <w:divId w:val="672149918"/>
      </w:pPr>
      <w:r w:rsidRPr="001F1010">
        <w:t>Развитие предпринимательства является одним из направлений работы администрации района. Позиции малого и среднего предпринимательства в социально-экономическом развитии района становятся более существенными. Экономическую деятельность района осуществляют 351 хозяйствующих субъектов. В найме у субъектов предпринимательства трудится 20,6% среднегодовой численности занятых в экономике района. На долю субъектов малого и среднего предпринимательства приходится около 40 % валового продукта, 80 % пашни. Доля поступлений от малого и среднего бизнеса о общем объеме налоговых и неналоговых поступлений в местный бюджет - 51,2 %. Большая часть оборота общественного питания, розничного товарооборота, платных услуг по району формируют субъекты малого и среднего предпринимательства. Социальное партнерство хозяйствующими субъектами реализуется в каждом поселении.  </w:t>
      </w:r>
    </w:p>
    <w:p w14:paraId="22B05A6E" w14:textId="77777777"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14:paraId="5F43EFBA" w14:textId="333D0258" w:rsidR="0074511A" w:rsidRPr="008E0719" w:rsidRDefault="00954C8F" w:rsidP="001F1010">
      <w:pPr>
        <w:spacing w:line="276" w:lineRule="auto"/>
        <w:jc w:val="both"/>
        <w:divId w:val="1356543834"/>
      </w:pPr>
      <w:r w:rsidRPr="008E0719">
        <w:t>На территории Ключевского района проживает 6236 граждан трудоспособного возраста, более 50% от общей численности района. На 01 января 2024 года численность зарегистрированных безработных составляет 127 человека, в сравнении с предыдущим периодом снижение наблюдается на 38 человек. По темпу снижения численности безработных, Ключевский район, находится на 15 месте в рейтинге муниципальных образований по итогам 2024 года.   За отчетный период уровень зарегистрированной безработицы снизился на 0,1% и достиг значения – 2% от численности трудоспособного населения. Сегодня на 1 вакансию приходится более 2-х человек ищущих работу. Размер среднемесячной заработной платы одного работника по крупным и средним организациям составил 42024 рублей, темп роста 116,5% к уровню прошлого года. Задолженность по заработной плате в районе отсутствует. За пятилетний период среднемесячная заработная плата выросла в 1,6 раза, с 26 тыс. рублей до 42 тыс. рублей. Учитывая, что крупные и средние организации на территории района представлены в основном бюджетными организациями, положительная динамика уровня заработной платы обеспечена Указами Президента по оплате труда отдельных категорий работников, ежегодной индексацией минимальной оплаты труда. Администрация района активно проводит работу по легализации трудовых отношений и ликвидации «неформальной занятости». Так, в отчетном году  численность трудоустроенных граждан, с которыми легализованы трудовые отношения, составила 87 человек.  </w:t>
      </w:r>
    </w:p>
    <w:p w14:paraId="4C50A55C" w14:textId="77777777"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14:paraId="79AB0DE7" w14:textId="608B8C54" w:rsidR="0074511A" w:rsidRPr="001F1010" w:rsidRDefault="001F1010" w:rsidP="001F1010">
      <w:pPr>
        <w:spacing w:line="276" w:lineRule="auto"/>
        <w:jc w:val="both"/>
        <w:divId w:val="1611469857"/>
      </w:pPr>
      <w:r w:rsidRPr="001F1010">
        <w:t xml:space="preserve">По итогам 2024 года наблюдается рост показателей потребительского рынка по крупным и средним предприятиям. Оборот розничной торговли по крупным и средним предприятиям составил – 1045,5 млн. рублей, темп роста к прошлому году составляет 118,2%. Объем платных услуг, оказанных населению составил 85,7 млн. рублей, с темпом роста 157,7%.  Оборот общественного питания вырос на 13,4% в сравнении с прошлым годом и составил 6,3 млн. рублей.  Торговое обслуживание на территории </w:t>
      </w:r>
      <w:r w:rsidRPr="001F1010">
        <w:lastRenderedPageBreak/>
        <w:t>района представлено 104 торговыми точками. Обеспеченность населения площадью стационарных торговых объектов на 1000 человек составляет порядка 1080 кв.м., что в 3,2 раза выше норматива. Основной объем розничного товарооборота обеспечивают крупные торговые сети: «Мария-Ра», «Магнит», «Светофор», «Пятерочка» и др. Кроме того, 7 отделений почтовой связи осуществляют торговлю в селах района, в том числе и в малонаселенных пунктах. На территории района функционируют 74 объекта бытового обслуживания, оказывающих парикмахерские, ремонтные и прочие бытовые услуги. Управлением социальной защиты населения в 2024 году выплачено различным категориям граждан 106,5 млн. рублей из краевого и федерального бюджета. Выплаты семьям, имеющим детей, составили 12,4 млн. рублей, краевые льготники получили 22,5 млн. рублей. Субсидиями на ЖКУ воспользовались 506 семей на сумму 9,8 млн. рублей. Меры социальной поддержки на коммунальные услуги направлены 3400 получателям на сумму 39,8 млн. рублей. это педагоги, ветераны труда, труженики тыла. Адресная помощь из краевого бюджета 71 гражданину составила 141 тыс. рублей, из местного бюджета 662 тыс. рублей. Два года часть федеральных и краевых выплат, особенно семьям с детьми, проходит так же через Социальный Фонд Российской Федерации (бывший Пенсионный Фонд). Социальный контракт получили 57 семей на сумму 9,3 млн. рублей.   </w:t>
      </w:r>
    </w:p>
    <w:p w14:paraId="3241552C" w14:textId="77777777"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14:paraId="7070F5ED" w14:textId="24257C2B" w:rsidR="0074511A" w:rsidRPr="008E0719" w:rsidRDefault="00954C8F" w:rsidP="001F1010">
      <w:pPr>
        <w:spacing w:line="276" w:lineRule="auto"/>
        <w:jc w:val="both"/>
        <w:divId w:val="1437944105"/>
      </w:pPr>
      <w:r w:rsidRPr="008E0719">
        <w:t xml:space="preserve">В консолидированный бюджет района в 2024 году поступило доходов в сумме 655,6 млн.рублей. Фактический рост доходов в сравнении с 2023 годом составляет 4,4 % или на 27,6 млн.рублей. Удельный вес собственных доходов составил 29,1% или 190,9 млн.рублей. В общей структуре собственных доходов налоговые доходы составили 74%, в денежном выражении 141,4 млн. рублей. Темп роста к 2023 году составил 110,1%. Безвозмездные поступления из краевого бюджета в 2024 году составили 464,7 млн. рублей, удельный вес – 70,9%. Темп роста к 2023 году составил 100,5%. Неналоговые доходы поступили в сумме 49,5 млн. рублей, что составляет 25,9% в структуре собственных доходов. Темп роста к прошлому году составил 132,9%. Увеличение собственных доходов сложилось по следующим доходным источникам:- налогу на доходы физических лиц в сумме 90,9 млн. рублей, темп роста составил 111,5%. Положительная динамика обусловлена ростом фонда оплаты труда. НДФЛ является основным источником собственных доходов консолидированного бюджета района и в структуре составляет 47,6%;-  по единому сельскохозяйственному налогу наблюдается снижение дохода на 4 млн. рублей, с темпом роста к прошлому году 77,3%;- по совокупнолму доходу рост составил 107,7 %. увеличился налог на имущество на 3,2 % По расходным обязательствам консолидированный бюджет района остается социально направленным.  В структуре расходов консолидированного бюджета района, расходы на «Образование» составляют 55,1%, в денежном выражении 355 млн. рублей. На культуру и спорт направлено 62 млн.рублей, что составляет в структуре расходов всего лишь 9,5%. На социальное обеспечение населения и охрану семьи и детства направлено 18,8 млн.рублей.  Несмотря на меры, принимаемые администрацией района по оптимизации расходов бюджета района и увеличения доходной части бюджета, просроченная кредиторская задолженность консолидированного бюджета района на 1 января 2025 года составила 8 млн. рублей. Кредиторская задолженность по расходам сформировалась еще </w:t>
      </w:r>
      <w:r w:rsidRPr="008E0719">
        <w:lastRenderedPageBreak/>
        <w:t>и по причине отвлечения средств районного бюджета на внеплановые расходы по решениям судов на приведение антитеррористической защищённости объектов образования, спорта и культуры.</w:t>
      </w:r>
    </w:p>
    <w:p w14:paraId="38976BD3" w14:textId="77777777"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14:paraId="22274C61" w14:textId="7E4CE4F0" w:rsidR="0074511A" w:rsidRPr="001F1010" w:rsidRDefault="001F1010" w:rsidP="001F1010">
      <w:pPr>
        <w:spacing w:line="276" w:lineRule="auto"/>
        <w:jc w:val="both"/>
        <w:divId w:val="1904366202"/>
        <w:rPr>
          <w:lang w:val="en-US"/>
        </w:rPr>
      </w:pPr>
      <w:r>
        <w:rPr>
          <w:lang w:val="en-US"/>
        </w:rPr>
        <w:t>Жилищно-коммунальная тема остается одной из самых острых в деятельности ОМСУ, и она остается показателем эффективной работы местной власти. Отопительный период 2024-2025 годов на территории Ключевского района официально начат 01 октября 2024 года. Теплоснабжение Ключевского района осуществляет одно теплоснабжающее предприятие МУП «Теплый Ключ», обслуживающее 8 основных котельных, и 7 малых котельных школ и детских садов. Проведена плановая проверка Алтайским отделом по надзору за тепловыми электростанциями, теплогенерирующими установками и сетями и котлонадзору. На основании акта проверки готовности к отопительному периоду от 01 ноября 2024 года муниципальному образованию Ключевский район выдан паспорт готовности к отопительному периоду. Согласно утвержденного районного плана мероприятий по проведению подготовки к отопительному сезону, в целом по Ключевскому району выполнены подготовительные работы в бюджетной сфере района. С 01.06.2022 года в районе утверждено «Положение о порядке и условиях предоставления дополнительных мер поддержки в целях соблюдения предельного индекса платы граждан за коммунальные услуги на территории Ключевского района Алтайского края». Согласно Положения всем жителям, приобретающим услуги по ценам выше предельно установленных, выплачивается компенсации. На тот период под данную категорию попала только стоимость каменного угля и дров как твердого топлива для отопления жилых домов. Превышение предельных (максимальных) индексов изменения размера вносимой гражданами платы за коммунальные услуги, установленных Указом Губернатора Алтайского края, подлежит компенсации, предоставляемой вне зависимости от уровня доходов, всем гражданам без исключения пользующимся коммунальными услугами.Эта мера поддержки носит заявительный характер. За последние годы была получена новая техника, которая принесла неоценимую помощь муниципальным предприятиям и жителям района. Это коммунальная машина на базе трактора МТЗ-82 (с отвалом, щеткой и шнекоротором), экскаватор, грейдер и ассенизаторская машина. Администрация Ключевского района делает все возможное для обеспечения жителей района услугами маршрутного транспорта по 6 маршрутам.  Общая площадь ввода в эксплуатацию жилья составила - 455 м2, или 35% к уровню прошлого года. Протяженность автомобильных дорог общего пользования местного значения в районе составляет 366,6 км, из них: с асфальтобетонным покрытием 71,4 км, пескощебеночным 55,7 км, грунтовых 239,5 км. На них расположено 8 пешеходных переходов, 3 из которых вблизи образовательных учреждений, и 14 остановок для маршрутного транспорта.</w:t>
      </w:r>
    </w:p>
    <w:p w14:paraId="58A9E30E" w14:textId="77777777" w:rsidR="0074511A" w:rsidRDefault="0074511A" w:rsidP="008E0719">
      <w:pPr>
        <w:spacing w:before="240" w:after="240" w:line="276" w:lineRule="auto"/>
        <w:jc w:val="center"/>
        <w:divId w:val="1972859180"/>
      </w:pPr>
      <w:r>
        <w:rPr>
          <w:rStyle w:val="a3"/>
          <w:sz w:val="28"/>
          <w:szCs w:val="28"/>
        </w:rPr>
        <w:t xml:space="preserve">Социальная сфера </w:t>
      </w:r>
    </w:p>
    <w:p w14:paraId="0DACE479" w14:textId="592C1628" w:rsidR="0074511A" w:rsidRPr="001F1010" w:rsidRDefault="001F1010" w:rsidP="001F1010">
      <w:pPr>
        <w:spacing w:line="276" w:lineRule="auto"/>
        <w:jc w:val="both"/>
        <w:divId w:val="1972859180"/>
        <w:rPr>
          <w:lang w:val="en-US"/>
        </w:rPr>
      </w:pPr>
      <w:r>
        <w:rPr>
          <w:lang w:val="en-US"/>
        </w:rPr>
        <w:t xml:space="preserve">В отчетном году Администрация района в области социальной политики постоянно направляла работу органов местного самоуправления комитетов и отделов Администрации района по выполнению плана мероприятий, посвященного Году Семьи </w:t>
      </w:r>
      <w:r>
        <w:rPr>
          <w:lang w:val="en-US"/>
        </w:rPr>
        <w:lastRenderedPageBreak/>
        <w:t>в России, 100 –летию со дня образования района, 70 –летию Целины. В отчетном году Администрацией района в области социальной политики были приняты около 70 Постановлений по особо важным вопросам. Разработаны и утверждены 11 новых муниципальных программ на 2025-2030 годы. Это программы комплексного развития образования, культуры, спорта, молодежной политики, демографии, общественного здоровья, противодействия идеологии терроризма и экстремизма, употреблению наркотиков, предупреждения правонарушений среди несовершеннолетних. Это большая аналитическая работа, которая определяет основные направления работы в социальной сфере.ОбразованиеБюджет района носит социально-ориентированный характер, ежегодно только на нужды образования направляется до 60% (2024 г. -56,7%).  Особенностью муниципальной сети общеобразовательных учреждений района является значительное количество малокомплектных, малочисленных школ. В районе функционирует 11 общеобразовательных учреждений (5 юридических лиц и 6 филиалов), из них 9 средних школ, 2 основных. В настоящее время в них обучается 1607 учащихся. В районе только 3 школы (Ключевская СОШ № 1, КСШ № 2 и Северская СОШ) - многокомплектные, в них обучается 1057 учащихся, что составляет 65% от общего числа, в остальных 8 школах обучается 550 учащихся или 34%.На постоянном контроле органов местного самоуправления находятся:1.    Государственных полномочий в отношении детей и подростков2.    Ремонт и подготовка объектов образования к новому учебному году3.    Антитеррористическая защищенность объектов образования4.    Сдача государственных экзаменов (9, 11 классов)5.    Взаимодействие по организации воспитательной работы в образовательных учреждениях6.    Работа девяти школьных маршрутов7.    Организация питания школьников (с охватом 96%). Замечу, на эти цели район получил 8,9 млн. рублей на питание детей 1-4 классов и детей-инвалидов из федеральных средств8.    Аттестация педагогических и руководящих кадров;9.    Всероссийская олимпиада школьников и Всероссийские проверочные работы10.    Организация летнего отдыха детей и подростковВ образовании района занято 239 педагогических и управленческих работников. 24,7% от всех педагогических и управленческих работников относится к возрастной категории «55 лет и старше». Значительная доля 89,8 % этих работников занята в общеобразовательных организациях.  Средняя заработная плата в отчетный период составила 38,5 тыс. рублей. За последние 3 года количество учащихся и воспитанников сократилось на 120-130 человек. Школы реализуют программы развития социальной активности учащихся начальной школы «Орлята России», для старшеклассников - это «Юнармия». Второй год во всех базовых школах открыты школьные театры и спортивные клубы, работают первичные отделения «Движения Первых». Район получил субсидию из федерального бюджета на создание новых мест в образовательных организациях в рамках федерального проекта «Успех каждого ребенка» национального проекта «Образование». На указанные средства в нашем районе созданы (оснащены оборудованием) 75 мест для дополнительного образования детей в следующих школах:</w:t>
      </w:r>
      <w:r>
        <w:rPr>
          <w:lang w:val="en-US"/>
        </w:rPr>
        <w:t>    «Ключевская школа №1» - школьный театр (45 мест)</w:t>
      </w:r>
      <w:r>
        <w:rPr>
          <w:lang w:val="en-US"/>
        </w:rPr>
        <w:t>    «Новополтавская СОШ им. Н.В.Курченко» - школьный туристический клуб (15 мест)</w:t>
      </w:r>
      <w:r>
        <w:rPr>
          <w:lang w:val="en-US"/>
        </w:rPr>
        <w:t xml:space="preserve">    «Петуховская школа им. С.А. Чиганова» - школьный спортивный клуб (15 мест).В общеобразовательных учреждениях проходит целый ряд мероприятий, направленных на поддержку и увековечивание памяти военнослужащих, принимающих участие в специальной военной операции. Коллективы школ и детских садов участвуют </w:t>
      </w:r>
      <w:r>
        <w:rPr>
          <w:lang w:val="en-US"/>
        </w:rPr>
        <w:lastRenderedPageBreak/>
        <w:t>в гуманитарных акциях СВО. На территории района функционирует 8 образовательных учреждений, реализующих программу дошкольного образования (2 - юридических лица, 2 филиала, 4 - структурные подразделения в 4 общеобразовательных школах).  На 1 сентября укомплектовано 18 дошкольных групп.  Количество детей, охваченных услугами дошкольного образования, насчитывает 378 человек, из них в дошкольных учреждениях -  362 ребенка.За 2024 год посещаемость в детском саду «Аленушка» составляет 44,7 %, «Теремок» 56,4% (с. Ключи), «Колосок» (п. Целинный) - 47,2 %, с. Северка -  57,0%, с. Васильчуки - 32,6 (из 5 детей), с. Петухи - 50,9 %, с. Зеленая Поляна - 6%. Лучше других посещаемость за год составила в детском саду «Грибок» (с. Истимисс) – 69,3 %, дошкольной группе Петуховской школы им. С.А. Чиганова - 50,9 %. Низкая посещаемость, постоянные карантины делают не эффективной систему дошкольного образования в районе. Постоянная забота Администрации района – обеспечение антитеррористической защищенности учреждений образования, культуры и спорта. Так, за последние 3 года, из муниципального бюджета на эти цели только в образование направлено 5,7 млн. рублей, на противопожарную безопасность 3,2 млн. рублей. Но потребность на обеспечение антитеррористической защищенности в образовании составляет 13.6 млн. рублей (особо дорогостоящее - ограждение), на противопожарную безопасность (АПС) 9,1 млн.  рублей.Текущие ремонты на объектах образования района носят системный характер. Ежегодно, как правило, на подготовку учреждений к новому учебному году выделяется около 3 млн. рублей. Ежегодно продолжаем обследование технического состояния зданий школ и детских садов. Завершается процедура лицензирования медицинского кабинета КСОШ 1, на эти цели из средств муниципального бюджета выделено более 400 тыс. рублей. В ходе капитального ремонта предстоит оснащение и лицензирование медицинского кабинета в МБОУ «Ключевская СОШ № 2». Малокомплектные школы обслуживаются по договорам с ЦРБ. Необходимы мероприятия по дооснащению школ предметным оборудованием учебных кабинетов по учебным предметам «ОБЗР», «Труд (Технология)». Оснащенность их составляет 55%. Но по каждой школе составлен перечень недостающего оборудования. Для организации обучения по программам новых модулей школами района докупается соответствующее оборудование и инструменты. Организованно проведена межведомственная кампания – летний отдых и занятость детей. В районе функционировали 11 детских оздоровительных лагерей дневного пребывания, в которых отдохнули 1070 детей. На эти цели направлено около 600 тыс. рублей из районного бюджета. 24 школьника выезжали в краевые детские лагеря, 90 – были трудоустроены, на эти цели направлено 377 тыс. рублей из районного бюджета. В системе образования охват детей различными видами дополнительных образовательных программ составил 82,8 %. Администрация района курирует выполнение комитетом по образованию государственных полномочий по опеке и попечительству в отношении более 60 детей-сирот и детей и оставшихся без попечения родителей. Постоянная работа ведется по выполнению государственных задач по организации районной комиссии по делам несовершеннолетних и защите их прав. Проведено 14 заседаний комиссии, рассмотрено 119 материалов об административных правонарушениях, в то числе, 11 в отношении детей и 108 материалов в отношении родителей. Органам профилактики направлено 198 поручений.Молодежная политикаВ рамках выполнения муниципальной программы молодежной политики в районе проведены более 70 мероприятий, в том числе:</w:t>
      </w:r>
      <w:r>
        <w:rPr>
          <w:lang w:val="en-US"/>
        </w:rPr>
        <w:t>    Месячник военно-патриотического воспитания;</w:t>
      </w:r>
      <w:r>
        <w:rPr>
          <w:lang w:val="en-US"/>
        </w:rPr>
        <w:t xml:space="preserve">    Месячник молодого </w:t>
      </w:r>
      <w:r>
        <w:rPr>
          <w:lang w:val="en-US"/>
        </w:rPr>
        <w:lastRenderedPageBreak/>
        <w:t>избирателя;</w:t>
      </w:r>
      <w:r>
        <w:rPr>
          <w:lang w:val="en-US"/>
        </w:rPr>
        <w:t>    Месячник «Молодежь выбирает ЗОЖ»;</w:t>
      </w:r>
      <w:r>
        <w:rPr>
          <w:lang w:val="en-US"/>
        </w:rPr>
        <w:t>    Весенняя и Антинаркотическая акция «Миссия жить»;</w:t>
      </w:r>
      <w:r>
        <w:rPr>
          <w:lang w:val="en-US"/>
        </w:rPr>
        <w:t>    Весенняя неделя добра;</w:t>
      </w:r>
      <w:r>
        <w:rPr>
          <w:lang w:val="en-US"/>
        </w:rPr>
        <w:t>    Месячник патриотической направленности ко Дню победы (цикл мероприятий);</w:t>
      </w:r>
      <w:r>
        <w:rPr>
          <w:lang w:val="en-US"/>
        </w:rPr>
        <w:t>    Всероссийская патриотическая акция - «Бессмертный полк» (в новых форматах);</w:t>
      </w:r>
      <w:r>
        <w:rPr>
          <w:lang w:val="en-US"/>
        </w:rPr>
        <w:t>    «Вахта памяти»;</w:t>
      </w:r>
      <w:r>
        <w:rPr>
          <w:lang w:val="en-US"/>
        </w:rPr>
        <w:t>    «Георгиевская ленточка»; и пр.</w:t>
      </w:r>
      <w:r>
        <w:rPr>
          <w:lang w:val="en-US"/>
        </w:rPr>
        <w:t>    Двухмесячный марафон Семьи, где осуществлен цикл молодежных мероприятий;</w:t>
      </w:r>
      <w:r>
        <w:rPr>
          <w:lang w:val="en-US"/>
        </w:rPr>
        <w:t>    Молодежная неделя, посвященная Дню Молодежи и т.д.;</w:t>
      </w:r>
      <w:r>
        <w:rPr>
          <w:lang w:val="en-US"/>
        </w:rPr>
        <w:t>    Торжественный прием медалистов и их родителей у Главы района;</w:t>
      </w:r>
      <w:r>
        <w:rPr>
          <w:lang w:val="en-US"/>
        </w:rPr>
        <w:t>    Месячник здорового образа жизни;</w:t>
      </w:r>
      <w:r>
        <w:rPr>
          <w:lang w:val="en-US"/>
        </w:rPr>
        <w:t>    Районная молодежная акция «Поделись добром» в Месячник пожилого человека и другие.Сумма средств, направленная на проведение мероприятий в сфере молодёжной политики в отчетном, составляет 70 тысяч рублей.       Молодежь района участвует в праздновании всех государственных праздников. В районе ведется постоянная межведомственная антинаркотическая деятельность, приобщение молодежи к здоровому образу жизни, профилактика идеологии экстремизма и терроризма, работа по гармонизации межнациональных отношений. Молодежная политика в районе и впредь должна оставаться приоритетом большой социальной работы.КультураВ 2023 году деятельность Администрации района совместно с комитетом по культуре была направлена на дальнейшее творческое развитие отрасли и укрепление материально-технической базы подведомственных учреждений:  </w:t>
      </w:r>
      <w:r>
        <w:rPr>
          <w:lang w:val="en-US"/>
        </w:rPr>
        <w:t>    «Детской школы искусств»;</w:t>
      </w:r>
      <w:r>
        <w:rPr>
          <w:lang w:val="en-US"/>
        </w:rPr>
        <w:t xml:space="preserve">    «Многофункционального культурного центра», в структуру которого входят 11 учреждений клубного типа, 13- библиотек, 1-музей.Отчетный период прошел под знаком Года Семьи в России, 100-летия района и 70-летия Целины, реализовывался план по возрождению, сохранению и развитию традиционной народной культуры и проект «Культура для школьников». Все учреждения культуры принимали участие в марафоне культурных событий в Алтайском крае. На базе многофункционального культурного центра было проведено 15 районных фестивалей и праздников. Творческие коллективы учреждений культуры являются участниками всех значимых мероприятий в районе, а также принимают участие в конкурсах и фестивалях разного уровня, становясь призерами, дипломантами, лауреатами различных степеней.  За прошедший период кинозалом «Премьера» показано 305 сеансов, которые посетили более 2,1 тыс. зрителей, валовый сбор средств составил 333,4 тыс. рублей. По Пушкинской карте куплено всего более 360 билетов из них: на киносеансы - 200, на культурные мероприятия более 160. Библиотеки района традиционно выполнили целевые показатели по охвату библиотечным обслуживанием населения района, в том числе и детей. За год оформлено 248 книжных выставок, проведено более 950 мероприятий, которые посетили около 39 тысяч человек. Общий объём библиотечного фонда составляет более 106 тысяч экземпляров. Новые поступления из федерального и краевого бюджетов составили около 1425 экземпляров, на сумму 400 тыс.  рублей.  Средства районного бюджета составили 82 тыс. рублей. За отчетный период проведено около 990 культурно массовых мероприятий, на них побывали 175,4 тыс. посетителей. Победителем федерального конкурса на предоставление государственной поддержки лучшим работникам сельских учреждений культуры по направлению «Библиотечное дело» стала Руденко Ольга Дмитриевна, методист Районной модельной библиотеки.   За отчетный период фонд Ключевского районного краеведческого музея пополнился на 421 предмет за счет дарения гражданами. Всего на текущую дату в музее насчитывается более 13,9 тыс. единиц хранения. Двумя сотрудниками музея организовано 14 выставок на основе </w:t>
      </w:r>
      <w:r>
        <w:rPr>
          <w:lang w:val="en-US"/>
        </w:rPr>
        <w:lastRenderedPageBreak/>
        <w:t xml:space="preserve">фондовых коллекций, проведено 417 экскурсий. Музей посетили более 9,7 тыс. человек. Число посетителей массовых мероприятий составило более 2 тыс. человек. Завершена работа по включению экспонатов музея в Госкаталог Российской Федерации. В базу данных за 5 лет внесено 100% единиц хранения музея. На начало учебного года в Детской школе искусств обучалось - 252 воспитанника. Работают 6 коллективов, которые мы постоянно видим на районной сцене. В их числе образцовый хореографический ансамбль «Родники» (руководитель И.М. Кондратенко) и народный самодеятельный коллектив Алтайского края «Белое Злато» руководитель А.А. Барабаш). Наряду с традиционными формами обучения, промежуточной и итоговой аттестацией, учащиеся принимают активное участие в концертной, выставочной деятельности школы, а также в конкурсах и фестивалях от школьного до международных уровней.     На отрасль культуры в прошлом году направлено 51,8 млн. рублей из средств районного бюджета, их них 29,6 млн. рублей – это содержание учреждений клубной и библиотечной системы, 15,3 млн. рублей – детской школы искусств, 6,9 млн. рублей – комитету по культуре и молодежной политике. За 2024 год поддержка отрасли культуры на укрепление, ремонт и антитеррористическую защищенность объектов составила 7,5 млн. рублей, в том числе:-1,4 млн. рублей ДШИ, 5,1 млн. рублей – учреждения культуры;- антитеррористическая защищенность - 950 тыс. рублей (МКЦ);-капитальный ремонт кровли Васильчуковского сельского Дома культуры – более 2,8 млн. рублей (финансирование проведено через сельсовет).Культура района вошла в список победителей в конкурсе на улучшение материально-технической базы: за счет краевого гранта установлено звуковое оборудование в здании РДК и Целинного СДК на сумму более 760 тыс. рублей. Кроме того, внебюджетные средства за год составили 2,8 млн. рублей, в том числе, 1,8 млн. рублей заработанные многофункциональным культурным центром, 556 тыс. рублей – ДШИ, 411 тыс. рублей – добровольные пожертвования меценатов на подготовку 100 –летия района.Из районного бюджета выделено более 386 тыс. рублей на текущий ремонт и благоустройство памятников воинам, погибшим в годы Великой Отечественной войны. Из них 100 тыс. руб. на ремонт памятника в с. Новополтава.  Основной проблемой отрасли культуры, как, впрочем, образования и спорта является, в первую очередь, нехватка квалифицированных кадров.В культуре, особенно, в селах не хватает оргтехники, усилительной аппаратуры. Ведется работа с Министерством культуры края о капитальном ремонте ДШИ, выборочном капитальном ремонте РДК ( за счёт бюджета отремонтировали крыльцо 3 млн. рублей). Есть потребность в капитальном ремонте Северского и Петуховского домов культуры.Подготовлен и направлен в Министерство пакет документов на модернизацию районного музея, расширение его площадей, за счет пустующих помещений двухэтажного здания.Физическая культура и спортНа территории МО Ключевский район в рамках выполнения муниципальной программы «Развитие физической культуры и спорта» ведется систематическая работа по вовлечению молодежи, в том числе детей и подростков, в занятия физической культурой и спортом. Организация физкультурно-массовой и спортивной работы в районе ежегодно реализуется календарный план спортивно-массовых мероприятий. В течение года в районе проведено 82 спортивно-массовых мероприятия, в которых приняли участие более 2600 человек. Молодежь района принимает постоянное участие в соревнованиях по приглашениям краевых федераций по различным видам спорта. Футбольный клуб «Юность» принимал участие во Второй лиге Чемпионата Алтайского края по футболу. Весь сезон команда </w:t>
      </w:r>
      <w:r>
        <w:rPr>
          <w:lang w:val="en-US"/>
        </w:rPr>
        <w:lastRenderedPageBreak/>
        <w:t xml:space="preserve">соревновалась с клубами из «Западного дивизиона», проведя в общем счете 5 домашних и 5 выездных матчей и, по итогам соревнований, заняла 3 место. В Первенстве по футболу среди коллективов физической культуры участвовали 4 команды, первое место заняла команда Ключевского сельского совета. Хоккейный клуб «Юность» второй год подряд участвует в Ночной Хоккейной лиге двумя командами разных возрастов в дивизионы «Любитель 40+» и «Лига Надежды».  ХК «Юность 40+» и ХК «Юность 18+» участвуют в домашних и выездных турах Ночной хоккейной лиги, ведут активный образ жизни при этом набирая соревновательный опыт.Проведено Первенство района по хоккею с шайбой, в котором принимали участие 4 команды. В феврале 2024 года на краевой Олимпиаде делегация района была представлена спортсменами по 4 видам спорта. По итогам соревнований район занял 5 место в краевой таблице. В отчетном году в зимний период работали: хоккейный корт спортивной школы «Юность»»; лыжная база «Снежинка» села Васильчуки; лыжная база «Лесная» села Ключи. На этих объектах на протяжении всего сезона были созданы хорошие условия для развития физической активности населения района, был организован прокат спортивного инвентаря. Базовым учреждением для работы с детьми и молодежью является «Ключевская спортивная школа «Юность»», Профессиональный лицей им. А.В. Гукова и общеобразовательные учреждения района. В «Ключевской спортивной школе «Юность» занимается 241 учащийся из школ райцентра и лицея. В спортивной школе «Юность»» культивируется 6 видов спорта: борьба самбо, футбол, баскетбол, гиревой спорт, лыжные гонки, шахматы. В рамках реализации плана мероприятий ГТО 9 лет, на территории района, при спортшколе, функционирует центр тестирования по выполнению населением видов испытаний комплекса ГТО, исходя из имеющейся материально-технической базы, оснащенной необходимым инвентарем. Район продолжает занимать лидирующее место в рейтинге районов по внедрению ГТО. К сдаче нормативов комплекса привлекаются учащиеся всех ступеней и все желающие жители района. Стали традиционными Фестивали среди педагогических работников образования, сдача норм ГТО школьниками и молодежью. В сентябре 2024 года состоялся Фестиваль ГТО, в котором приняли участие около 140 учащихся из 9 школ района. В районе ежегодно проводится Спартакиада учащихся школ по 10 видам спорта с общим количеством принимающих участие более 550 человек. Во всех школах и профессиональном лицее имеется необходимая спортивная база для занятий физической культурой и для проведения спортивных мероприятий (спортивные площадки и спортивные залы). Ведется работа с инвалидами, их в районе более 900 человек, из них 65 человек - несовершеннолетние, поэтому отдел по физической культуре и спорту тесно взаимодействует с Ключевским районным обществом инвалидов. Работают группы здоровья и «северной ходьбы».Проводятся летние и зимние спартакиады «Шаг из круга» для людей с ограниченными возможностями здоровья.Из районного бюджета в отчетный период на развитие физкультуры и спорта направлено: 22,7 млн. рублей, их них, 5,9 млн. рублей проведены через отдел по физической культуре и спорту и 16,8 млн. рублей получила спортивная школа «Юность». Через отдел по физической культуре и спорту Администрация района по программе «Спорт» направила 1023,5 тыс. рублей, из них 714 тыс. рублей на организацию спортивных мероприятий, через спортклуб «Юность» в прошлом году освоено 897 тыс. рублей, из них 465 тыс. рублей из районного бюджета, 330 тыс. рублей- добровольные пожертвования, 102 тыс. рублей –собственные внебюджетные средства. Предстоит работа по включению в КАИП СОК «Ключи» для </w:t>
      </w:r>
      <w:r>
        <w:rPr>
          <w:lang w:val="en-US"/>
        </w:rPr>
        <w:lastRenderedPageBreak/>
        <w:t>проведения капитального ремонта. Объект необходим школам для проведения уроков, так как, спортзалы школ могут удовлетворить потребность классов – комплектов в проведении уроков только на 50%. А во второй половине дня спортзал всегда востребован для спортсменов и групп здоровья райцентра. </w:t>
      </w:r>
    </w:p>
    <w:p w14:paraId="3CC5AB28" w14:textId="77777777" w:rsidR="0074511A" w:rsidRDefault="0074511A">
      <w:pPr>
        <w:spacing w:after="240" w:line="276" w:lineRule="auto"/>
        <w:divId w:val="1537622445"/>
      </w:pPr>
      <w:r>
        <w:br/>
      </w:r>
      <w:r>
        <w:br/>
      </w: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758"/>
        <w:gridCol w:w="1260"/>
        <w:gridCol w:w="3661"/>
      </w:tblGrid>
      <w:tr w:rsidR="0074511A" w14:paraId="2AB2A4E2" w14:textId="77777777" w:rsidTr="008E0719">
        <w:trPr>
          <w:divId w:val="1191646061"/>
          <w:tblCellSpacing w:w="15" w:type="dxa"/>
          <w:jc w:val="right"/>
        </w:trPr>
        <w:tc>
          <w:tcPr>
            <w:tcW w:w="0" w:type="auto"/>
            <w:vAlign w:val="center"/>
            <w:hideMark/>
          </w:tcPr>
          <w:p w14:paraId="0643F607" w14:textId="4AC21747" w:rsidR="0074511A" w:rsidRPr="001F1010" w:rsidRDefault="001F1010" w:rsidP="008E0719">
            <w:pPr>
              <w:spacing w:line="276" w:lineRule="auto"/>
              <w:jc w:val="right"/>
              <w:rPr>
                <w:sz w:val="28"/>
                <w:szCs w:val="28"/>
                <w:lang w:val="en-US"/>
              </w:rPr>
            </w:pPr>
            <w:r>
              <w:rPr>
                <w:sz w:val="28"/>
                <w:szCs w:val="28"/>
                <w:lang w:val="en-US"/>
              </w:rPr>
              <w:t>Глава</w:t>
            </w:r>
          </w:p>
        </w:tc>
        <w:tc>
          <w:tcPr>
            <w:tcW w:w="0" w:type="auto"/>
            <w:vAlign w:val="bottom"/>
            <w:hideMark/>
          </w:tcPr>
          <w:p w14:paraId="78420B82" w14:textId="77777777" w:rsidR="0074511A" w:rsidRDefault="0074511A">
            <w:r>
              <w:t>__________</w:t>
            </w:r>
          </w:p>
        </w:tc>
        <w:tc>
          <w:tcPr>
            <w:tcW w:w="0" w:type="auto"/>
            <w:vAlign w:val="bottom"/>
            <w:hideMark/>
          </w:tcPr>
          <w:p w14:paraId="18C0776F" w14:textId="46AC9841" w:rsidR="0074511A" w:rsidRPr="001F1010" w:rsidRDefault="001F1010">
            <w:pPr>
              <w:spacing w:line="276" w:lineRule="auto"/>
              <w:rPr>
                <w:sz w:val="28"/>
                <w:szCs w:val="28"/>
                <w:lang w:val="en-US"/>
              </w:rPr>
            </w:pPr>
            <w:r>
              <w:rPr>
                <w:sz w:val="28"/>
                <w:szCs w:val="28"/>
                <w:lang w:val="en-US"/>
              </w:rPr>
              <w:t>Леснов Денис Александрович</w:t>
            </w:r>
          </w:p>
        </w:tc>
      </w:tr>
      <w:tr w:rsidR="0074511A" w14:paraId="7CE077F3" w14:textId="77777777" w:rsidTr="008E0719">
        <w:trPr>
          <w:divId w:val="1191646061"/>
          <w:tblCellSpacing w:w="15" w:type="dxa"/>
          <w:jc w:val="right"/>
        </w:trPr>
        <w:tc>
          <w:tcPr>
            <w:tcW w:w="0" w:type="auto"/>
            <w:vAlign w:val="center"/>
            <w:hideMark/>
          </w:tcPr>
          <w:p w14:paraId="226C377D" w14:textId="77777777" w:rsidR="0074511A" w:rsidRDefault="0074511A">
            <w:r>
              <w:t> </w:t>
            </w:r>
          </w:p>
        </w:tc>
        <w:tc>
          <w:tcPr>
            <w:tcW w:w="0" w:type="auto"/>
            <w:hideMark/>
          </w:tcPr>
          <w:p w14:paraId="2C997188" w14:textId="77777777" w:rsidR="0074511A" w:rsidRDefault="0074511A">
            <w:r>
              <w:t>(подпись)</w:t>
            </w:r>
          </w:p>
        </w:tc>
        <w:tc>
          <w:tcPr>
            <w:tcW w:w="0" w:type="auto"/>
            <w:vAlign w:val="center"/>
            <w:hideMark/>
          </w:tcPr>
          <w:p w14:paraId="15A52DF3" w14:textId="77777777" w:rsidR="0074511A" w:rsidRDefault="0074511A">
            <w:r>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trPr>
          <w:divId w:val="1537622445"/>
          <w:tblCellSpacing w:w="15" w:type="dxa"/>
        </w:trPr>
        <w:tc>
          <w:tcPr>
            <w:tcW w:w="5550" w:type="dxa"/>
            <w:vAlign w:val="center"/>
            <w:hideMark/>
          </w:tcPr>
          <w:p w14:paraId="4A6699B7" w14:textId="77777777" w:rsidR="0074511A" w:rsidRDefault="0074511A">
            <w:r>
              <w:t> </w:t>
            </w:r>
          </w:p>
        </w:tc>
        <w:tc>
          <w:tcPr>
            <w:tcW w:w="0" w:type="auto"/>
            <w:vAlign w:val="center"/>
            <w:hideMark/>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A4EA2" w14:textId="77777777" w:rsidR="008A6928" w:rsidRDefault="008A6928" w:rsidP="00D47142">
      <w:r>
        <w:separator/>
      </w:r>
    </w:p>
  </w:endnote>
  <w:endnote w:type="continuationSeparator" w:id="0">
    <w:p w14:paraId="2C242ACD" w14:textId="77777777" w:rsidR="008A6928" w:rsidRDefault="008A6928"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8DE3B" w14:textId="77777777" w:rsidR="00D47142" w:rsidRDefault="00D471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34340" w14:textId="77777777" w:rsidR="00D47142" w:rsidRDefault="00D47142" w:rsidP="00D47142">
    <w:pPr>
      <w:pStyle w:val="a6"/>
      <w:jc w:val="right"/>
    </w:pPr>
    <w:r>
      <w:fldChar w:fldCharType="begin"/>
    </w:r>
    <w:r>
      <w:instrText xml:space="preserve"> PAGE  \* MERGEFORMAT </w:instrText>
    </w:r>
    <w:r>
      <w:fldChar w:fldCharType="separate"/>
    </w:r>
    <w:r w:rsidR="00536C6D">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E02DA" w14:textId="77777777" w:rsidR="00D47142" w:rsidRDefault="00D47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B0945" w14:textId="77777777" w:rsidR="008A6928" w:rsidRDefault="008A6928" w:rsidP="00D47142">
      <w:r>
        <w:separator/>
      </w:r>
    </w:p>
  </w:footnote>
  <w:footnote w:type="continuationSeparator" w:id="0">
    <w:p w14:paraId="63983101" w14:textId="77777777" w:rsidR="008A6928" w:rsidRDefault="008A6928" w:rsidP="00D47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01AD6" w14:textId="77777777" w:rsidR="00D47142" w:rsidRDefault="00D47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4815" w14:textId="77777777" w:rsidR="00D47142" w:rsidRDefault="00D47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63AB7" w14:textId="77777777" w:rsidR="00D47142" w:rsidRDefault="00D47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142"/>
    <w:rsid w:val="000D3D3D"/>
    <w:rsid w:val="0015389F"/>
    <w:rsid w:val="001F1010"/>
    <w:rsid w:val="00467A05"/>
    <w:rsid w:val="00536C6D"/>
    <w:rsid w:val="005A1D93"/>
    <w:rsid w:val="00705BA6"/>
    <w:rsid w:val="0074511A"/>
    <w:rsid w:val="008A6928"/>
    <w:rsid w:val="008E0719"/>
    <w:rsid w:val="00954C8F"/>
    <w:rsid w:val="00C97D56"/>
    <w:rsid w:val="00D4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15:chartTrackingRefBased/>
  <w15:docId w15:val="{CCFF18FB-2FD0-4234-9917-B6419077B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5043</Words>
  <Characters>28748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33724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webadmin</dc:creator>
  <cp:keywords/>
  <dc:description/>
  <cp:lastModifiedBy>Econom_user1</cp:lastModifiedBy>
  <cp:revision>2</cp:revision>
  <dcterms:created xsi:type="dcterms:W3CDTF">2025-04-21T07:55:00Z</dcterms:created>
  <dcterms:modified xsi:type="dcterms:W3CDTF">2025-04-21T07:55:00Z</dcterms:modified>
</cp:coreProperties>
</file>