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322A95" w14:textId="77777777" w:rsidR="0074511A" w:rsidRDefault="0074511A">
      <w:pPr>
        <w:spacing w:line="276" w:lineRule="auto"/>
        <w:divId w:val="1537622445"/>
      </w:pPr>
      <w:bookmarkStart w:id="0" w:name="_GoBack"/>
      <w:bookmarkEnd w:id="0"/>
    </w:p>
    <w:tbl>
      <w:tblPr>
        <w:tblW w:w="5000" w:type="pct"/>
        <w:tblCellSpacing w:w="0" w:type="dxa"/>
        <w:tblCellMar>
          <w:left w:w="0" w:type="dxa"/>
          <w:right w:w="0" w:type="dxa"/>
        </w:tblCellMar>
        <w:tblLook w:val="04A0" w:firstRow="1" w:lastRow="0" w:firstColumn="1" w:lastColumn="0" w:noHBand="0" w:noVBand="1"/>
      </w:tblPr>
      <w:tblGrid>
        <w:gridCol w:w="9355"/>
      </w:tblGrid>
      <w:tr w:rsidR="0074511A" w14:paraId="4E4B34E6" w14:textId="77777777">
        <w:trPr>
          <w:divId w:val="1537622445"/>
          <w:tblCellSpacing w:w="0" w:type="dxa"/>
        </w:trPr>
        <w:tc>
          <w:tcPr>
            <w:tcW w:w="0" w:type="auto"/>
            <w:vAlign w:val="center"/>
            <w:hideMark/>
          </w:tcPr>
          <w:p w14:paraId="2D987EF4" w14:textId="77777777" w:rsidR="0074511A" w:rsidRDefault="0074511A">
            <w:pPr>
              <w:spacing w:line="276" w:lineRule="auto"/>
              <w:jc w:val="center"/>
              <w:rPr>
                <w:b/>
                <w:bCs/>
                <w:sz w:val="28"/>
                <w:szCs w:val="28"/>
              </w:rPr>
            </w:pPr>
            <w:r>
              <w:rPr>
                <w:b/>
                <w:bCs/>
                <w:sz w:val="28"/>
                <w:szCs w:val="28"/>
              </w:rPr>
              <w:t>Информация о социально-экономическом развитии</w:t>
            </w:r>
          </w:p>
        </w:tc>
      </w:tr>
      <w:tr w:rsidR="0074511A" w14:paraId="4EA7D3FF" w14:textId="77777777">
        <w:trPr>
          <w:divId w:val="1537622445"/>
          <w:tblCellSpacing w:w="0" w:type="dxa"/>
        </w:trPr>
        <w:tc>
          <w:tcPr>
            <w:tcW w:w="0" w:type="auto"/>
            <w:tcBorders>
              <w:bottom w:val="single" w:sz="8" w:space="0" w:color="000000"/>
            </w:tcBorders>
            <w:vAlign w:val="center"/>
            <w:hideMark/>
          </w:tcPr>
          <w:p w14:paraId="363948BA" w14:textId="11B963CD" w:rsidR="0074511A" w:rsidRDefault="001F1010">
            <w:pPr>
              <w:spacing w:line="276" w:lineRule="auto"/>
              <w:jc w:val="center"/>
              <w:rPr>
                <w:sz w:val="28"/>
                <w:szCs w:val="28"/>
              </w:rPr>
            </w:pPr>
            <w:r>
              <w:rPr>
                <w:b/>
                <w:bCs/>
                <w:sz w:val="28"/>
                <w:szCs w:val="28"/>
              </w:rPr>
              <w:t>Ключевского района</w:t>
            </w:r>
            <w:r w:rsidR="000D3D3D">
              <w:rPr>
                <w:b/>
                <w:bCs/>
                <w:sz w:val="28"/>
                <w:szCs w:val="28"/>
                <w:lang w:val="en-US"/>
              </w:rPr>
              <w:t xml:space="preserve"> </w:t>
            </w:r>
            <w:r w:rsidR="0074511A">
              <w:rPr>
                <w:b/>
                <w:bCs/>
                <w:sz w:val="28"/>
                <w:szCs w:val="28"/>
              </w:rPr>
              <w:t xml:space="preserve">в </w:t>
            </w:r>
            <w:r>
              <w:rPr>
                <w:b/>
                <w:bCs/>
                <w:sz w:val="28"/>
                <w:szCs w:val="28"/>
                <w:lang w:val="en-US"/>
              </w:rPr>
              <w:t>2023</w:t>
            </w:r>
            <w:r w:rsidR="0074511A">
              <w:rPr>
                <w:b/>
                <w:bCs/>
                <w:sz w:val="28"/>
                <w:szCs w:val="28"/>
              </w:rPr>
              <w:t xml:space="preserve"> году.</w:t>
            </w:r>
          </w:p>
        </w:tc>
      </w:tr>
      <w:tr w:rsidR="0074511A" w14:paraId="282A02E3" w14:textId="77777777">
        <w:trPr>
          <w:divId w:val="1537622445"/>
          <w:tblCellSpacing w:w="0" w:type="dxa"/>
        </w:trPr>
        <w:tc>
          <w:tcPr>
            <w:tcW w:w="0" w:type="auto"/>
            <w:vAlign w:val="center"/>
            <w:hideMark/>
          </w:tcPr>
          <w:p w14:paraId="177CC1F8" w14:textId="77777777" w:rsidR="0074511A" w:rsidRDefault="0074511A">
            <w:pPr>
              <w:pStyle w:val="1"/>
              <w:spacing w:line="276" w:lineRule="auto"/>
              <w:jc w:val="center"/>
              <w:rPr>
                <w:sz w:val="22"/>
                <w:szCs w:val="22"/>
              </w:rPr>
            </w:pPr>
            <w:r w:rsidRPr="00D47142">
              <w:rPr>
                <w:sz w:val="22"/>
                <w:szCs w:val="22"/>
              </w:rPr>
              <w:t>(официальное наименование городского округа (муниципального района)</w:t>
            </w:r>
          </w:p>
        </w:tc>
      </w:tr>
    </w:tbl>
    <w:p w14:paraId="6EBD965A" w14:textId="77777777" w:rsidR="0074511A" w:rsidRDefault="0074511A">
      <w:pPr>
        <w:spacing w:after="240" w:line="276" w:lineRule="auto"/>
        <w:divId w:val="1537622445"/>
      </w:pPr>
      <w:r>
        <w:br/>
      </w:r>
      <w:r>
        <w:br/>
      </w:r>
    </w:p>
    <w:p w14:paraId="7A3DFD5E" w14:textId="77777777" w:rsidR="0074511A" w:rsidRDefault="0074511A" w:rsidP="008E0719">
      <w:pPr>
        <w:spacing w:before="240" w:after="240" w:line="276" w:lineRule="auto"/>
        <w:jc w:val="center"/>
        <w:divId w:val="223301121"/>
      </w:pPr>
      <w:r>
        <w:rPr>
          <w:rStyle w:val="a3"/>
          <w:sz w:val="28"/>
          <w:szCs w:val="28"/>
        </w:rPr>
        <w:t xml:space="preserve">Промышленное производство </w:t>
      </w:r>
    </w:p>
    <w:p w14:paraId="7967FFEC" w14:textId="0AE79FEA" w:rsidR="0074511A" w:rsidRPr="001F1010" w:rsidRDefault="001F1010" w:rsidP="001F1010">
      <w:pPr>
        <w:spacing w:line="276" w:lineRule="auto"/>
        <w:jc w:val="both"/>
        <w:divId w:val="223301121"/>
      </w:pPr>
      <w:r w:rsidRPr="001F1010">
        <w:t>За 2023 год отгружено товаров собственного производства, выполнено работ и услуг в объеме 184,9 млн. рублей, что на 20% больше по сравнению с аналогичным периодом прошлого года. Индекс промышленного производства составил 119,3% в сопоставимой оценке к уровню прошлого года. В рейтинге муниципальных образований по итогам 2023 года, МО Ключевский район по объему промышленного производства на душу населения занимает 41 место, а по индексу промышленного производства 8 строчку краевого рейтинга. На территории района в настоящее время крупные обрабатывающие предприятия отсутствуют, а это как раз этот фактор, который не позволяет обеспечить высокий темп роста объемов промышленного производства.</w:t>
      </w:r>
    </w:p>
    <w:p w14:paraId="25D208A8" w14:textId="77777777" w:rsidR="0074511A" w:rsidRDefault="0074511A" w:rsidP="008E0719">
      <w:pPr>
        <w:spacing w:before="240" w:after="240" w:line="276" w:lineRule="auto"/>
        <w:jc w:val="center"/>
        <w:divId w:val="1450320109"/>
      </w:pPr>
      <w:r>
        <w:rPr>
          <w:rStyle w:val="a3"/>
          <w:sz w:val="28"/>
          <w:szCs w:val="28"/>
        </w:rPr>
        <w:t xml:space="preserve">Сельскохозяйственное производство </w:t>
      </w:r>
    </w:p>
    <w:p w14:paraId="53D2D3CA" w14:textId="00E9C93E" w:rsidR="0074511A" w:rsidRPr="008E0719" w:rsidRDefault="00954C8F" w:rsidP="001F1010">
      <w:pPr>
        <w:spacing w:line="276" w:lineRule="auto"/>
        <w:jc w:val="both"/>
        <w:divId w:val="1450320109"/>
      </w:pPr>
      <w:r w:rsidRPr="008E0719">
        <w:t xml:space="preserve">Сельскохозяйственный комплекс в 2023 году сработал с прибылью в объеме 378 млн. рублей, в том числе в коллективных сельскохозяйственных предприятиях она составила – 125 млн.рублей, в крестьянских хозяйствах – 253 млн. рублей. В 2023 году сельскохозяйственным производством в районе продолжило заниматься 90 хозяйств, в том числе 1 – СПК, 4 – общества с ограниченной ответственностью, 85 крестьянско-фермерских хозяйств, 8 из которых работают только животноводстве. Хозяйствами обрабатывалось 159,2 тыс. га пашни. Посевная площадь составила 130,5 тыс. га, в том числе площадь, занимаемая зерновыми культурами – 70 тыс.га (54% от посевной площади), посевная площадь подсолнечника составила 56,4 тыс.га или 43% от посевной площади. Площадь занятая кормовыми культурами составляла 3,7 тыс.га (3% от посевной площади), площадь пара составила 28,2 тыс.га (18% от общей площади пашни). Для повышения урожайности и увеличения валового производства сельскохозяйственных культур, сельхозтоваропроизводители района вместе с применением энергосберегающих технологий приобрели под посев 2023 года 111 тонн элитных семян высокоурожайных сортов различных культур, внесли более 1100 тонн минеральных удобрений. Все эти мероприятия в комплексе позволили хозяйствам района в текущем году сохранить лидерство по производству и урожайности зерновых культур по Западно-Кулундинской климатической зоне. С посевной площади собрано 38 тыс. тонн высококачественного зерна в весе после доработки, при урожайности 5,4 ц/га. Подсолнечника получено в объёме 35 тыс. тонн, средняя урожайность составила 6,0 ц/га. На 01.01.2024 года поголовье КРС в сельхозорганизациях, крестьянских (фермерских) хозяйствах и индивидуальных предпринимателей района составило 4055 голов, в том числе коров – 1517 голов, что составляет 102,2% к уровню прошлого года. Молочная продуктивность в сельхозорганизациях на одну фуражную корову составила 4770 кг. </w:t>
      </w:r>
      <w:r w:rsidRPr="008E0719">
        <w:lastRenderedPageBreak/>
        <w:t>Производство молока за год в сельхозорганизациях, крестьянских (фермерских) хозяйствах и индивидуальных предпринимателей составило 5417 тонн. В личных подсобных хозяйствах закуплено 2556 тонн молока, на сумму в 45,5 млн.рублей, и 239 тонн мяса в живом весе, на сумму 27,8 млн. рублей.В 2023 году КХ Гукова А.В. было реализовано 153 головы племенных овец. 7-ю индивидуальными предпринимателями Ключевского района в рамках реализации регионального проекта «Акселерация субъектов малого и среднего предпринимательства» был организован сельскохозяйственный потребительский перерабатывающий кооператив «Целинник». 5-ю членам кооператива были предоставлены гранты по направлению «Агростартап» в общую сумму 22 млн.рублей. На эти средства грантополучатели приобрели поголовье КРС молочного направления продуктивности, сельскохозяйственную технику и оборудование для переработки молока. Также в рамках реализации постановления Правительства Алтайского края от 15.08.2017 №300 «Об утверждении порядка предоставления из краевого бюджета средств на поддержку технической и технологической модернизации сельскохозяйственного производства» в 2023 году СППК «Целинник» были предоставлены субсидии в размере 7 млн.рублей на приобретение автомобилей для закупа молока и танков-охладителей. Всего за 2023 год хозяйствами всех форм собственности реализовано сельскохозяйственной продукции на сумму 2,1 млрд.рублей, в том числе сельхозпредприятиями – 738 млн.рублей, крестьянскими хозяйствами – 1,6 млрд.рублей, средняя заработная плата в отрасли сельского хозяйства по итогам года составила 28777 рублей, где обеспечен рост на 12% к уровню 2022 года. Хозяйства продолжают инвестировать денежные средства в основное производство. В текущем году техники в районе приобретено техники на сумму 232 млн. рублей, это 11-тракторов, 3-комбайна, 2 – посевных комплекса. Аграрии района по итогам 2023 года получили государственную поддержку более 80,0 млн.рублей. (справочно: в том числе 8,7 млн.рублей – несвязанная поддержка на 1 гектар, 1,2 млн.рублей на обработку против саранчовых вредителей, 3 млн.рублей – на элитные семена, 2,7 млн.рублей – молоко, 0,6 млн.рублей – поголовье, 4,9 млн.рублей – орошение, 11,8 млн.рублей – техника, 15,7 млн.рублей – зерновые).            </w:t>
      </w:r>
    </w:p>
    <w:p w14:paraId="5A13D8F4" w14:textId="77777777" w:rsidR="0074511A" w:rsidRDefault="0074511A" w:rsidP="008E0719">
      <w:pPr>
        <w:spacing w:before="240" w:after="240" w:line="276" w:lineRule="auto"/>
        <w:jc w:val="center"/>
        <w:divId w:val="1006633197"/>
      </w:pPr>
      <w:r>
        <w:rPr>
          <w:rStyle w:val="a3"/>
          <w:sz w:val="28"/>
          <w:szCs w:val="28"/>
        </w:rPr>
        <w:t xml:space="preserve">Реализация инвестиционных проектов на территории муниципального района </w:t>
      </w:r>
    </w:p>
    <w:p w14:paraId="5AFDAD4B" w14:textId="4DAB013A" w:rsidR="0074511A" w:rsidRPr="008E0719" w:rsidRDefault="00954C8F" w:rsidP="001F1010">
      <w:pPr>
        <w:spacing w:line="276" w:lineRule="auto"/>
        <w:jc w:val="both"/>
        <w:divId w:val="1006633197"/>
      </w:pPr>
      <w:r w:rsidRPr="00954C8F">
        <w:t xml:space="preserve"> По итогам 2023 года объем инвестиций в основной капитал по крупным и средним предприятиям района за счет всех источников финансирования составил 64,4 млн.рублей. Темп роста к прошлому году составил 182,5%. Динамика инвестиций не всегда стабильна, потому что район аграрный, а основными инвесторами в основной капитал являются сельскохозяйственные товаропроизводители, инвестиционная активность которых напрямую зависит от рентабельности предприятий по итогам агрономического года. Предприятиями АПК в 2023 году приобретено сельскохозяйственной техники и направлено на строительство объектов сельхозназначения более 261 млн. рублей. В 2023 году в рамках реализации национальных проектов и региональных программ на территории района реализованы 5 проектов с объемом финансирования более 85 млн. рублей. Самым крупным из проектов в рамках государственной программы «Развитие образования в Алтайском крае» и реализации мероприятий по модернизации школьных систем образования в 2023 году в </w:t>
      </w:r>
      <w:r w:rsidRPr="00954C8F">
        <w:lastRenderedPageBreak/>
        <w:t>Ключевском районе за счет средств федерального и краевого бюджета проведен капитальный ремонт здания МБОУ "Петуховская СОШ им.Чиганова С.А." с приобретением школьного оборудования. Объем финансирования по данному проекту составил более 27 млн.рублей. В рамках реализации средств краевого бюджета на капитальный ремонт социально-значимых объектов проведен «Капитальный ремонт спортивного зала ДЮСШ «Юность». Объем финансирования составил 13,4 млн.рублей. В рамках национальной программы «Цифровая экономика Российской Федерации» и федерального проекта «Информационная инфраструктура» предоставлена краевая субсидия для монтажа и подключения оборудования для пользования интернетом в семи школах района. Объем финансирования составил более 9,0 млн.рублей. В рамках реализации государственной программы Алтайского края "Обеспечение населения края жилищно-коммунальными услугами» Правительством края предоставлены субсидии из краевого бюджета на реализацию мероприятий по строительству, реконструкции, ремонту и капитальному ремонту объектов теплоснабжения на 2023 год". За счет выделенных средств проведен «Капитальный ремонт котельной №1 и сетей теплоснабжения в с.Ключи», объем финансирования составил 33,4 млн.рублей. В рамках государственной программы Алтайского края "Развитие транспортной системы Алтайского края" и на основании Соглашения с Министерством транспорта в прошлом году реализован проект по Ремонту уличной дорожной сети (участок по ул. Центральной). Объем финансирования составил 2,4 млн.рублей. В рамках краевой субсидии по линии Министерства культуры Алтайского края проведен ремонт памятников Воинам, погибшим в годы ВОВ, в с.Каип и с.Покровка. Объем финансирования 2,6 млн.рублей. В отчётном году Ключевский район продолжил активно участвовать в реализации проектов поддержки местных инициатив граждан.Реализовано 5 проектов поддержки местных инициатив за счет субсидий Министерства финансов Алтайского края на развитие общественной инфраструктуры «Алтайпредлагай».Общая стоимость реализованных проектов составила около 9 млн.рублей. С 2018-2022 год, район принимал участие в реализации национального проекта «Формирование комфортной городской среды». В рамках данного проекта проведено обустройство зоны отдыха в с.Ключи (центральная площадь) и благоустройство общественной территории по ул.Центральной с.Ключи в 3 этапа. За 5 лет на реализацию данных проектов направлено около 19,2 млн. рублей.  </w:t>
      </w:r>
    </w:p>
    <w:p w14:paraId="50EDF568" w14:textId="77777777" w:rsidR="0074511A" w:rsidRDefault="0074511A" w:rsidP="008E0719">
      <w:pPr>
        <w:spacing w:before="240" w:after="240" w:line="276" w:lineRule="auto"/>
        <w:jc w:val="center"/>
        <w:divId w:val="672149918"/>
      </w:pPr>
      <w:r>
        <w:rPr>
          <w:rStyle w:val="a3"/>
          <w:sz w:val="28"/>
          <w:szCs w:val="28"/>
        </w:rPr>
        <w:t xml:space="preserve">Состояние малого и среднего предпринимательства, меры государственной поддержки малого и среднего предпринимательства </w:t>
      </w:r>
    </w:p>
    <w:p w14:paraId="2ED7AA63" w14:textId="40FFA276" w:rsidR="0074511A" w:rsidRPr="001F1010" w:rsidRDefault="001F1010" w:rsidP="001F1010">
      <w:pPr>
        <w:spacing w:line="276" w:lineRule="auto"/>
        <w:jc w:val="both"/>
        <w:divId w:val="672149918"/>
      </w:pPr>
      <w:r w:rsidRPr="001F1010">
        <w:t xml:space="preserve">Развитие предпринимательства является одним из направлений работы администрации района. Позиции малого и среднего предпринимательства в социально-экономическом развитии района становятся более существенными. Экономическую деятельность района осуществляют 359 хозяйствующих субъекта. В найме у субъектов предпринимательства трудится 20,8% среднегодовой численности занятых в экономике района. На долю субъектов малого и среднего предпринимательства приходится около 40 % валового продукта, 80,3 % пашни. Доля поступлений от малого и среднего бизнеса о общем объеме налоговых и неналоговых поступлений в местный бюджет - 51,1 %. Большая часть оборота общественного питания, розничного товарооборота, платных услуг по району формируют субъекты малого и среднего предпринимательства. </w:t>
      </w:r>
      <w:r w:rsidRPr="001F1010">
        <w:lastRenderedPageBreak/>
        <w:t>Социальное партнерство хозяйствующими субъектами реализуется в каждом поселении.  </w:t>
      </w:r>
    </w:p>
    <w:p w14:paraId="22B05A6E" w14:textId="77777777" w:rsidR="0074511A" w:rsidRDefault="0074511A" w:rsidP="008E0719">
      <w:pPr>
        <w:spacing w:before="240" w:after="240" w:line="276" w:lineRule="auto"/>
        <w:jc w:val="center"/>
        <w:divId w:val="1356543834"/>
      </w:pPr>
      <w:r>
        <w:rPr>
          <w:rStyle w:val="a3"/>
          <w:sz w:val="28"/>
          <w:szCs w:val="28"/>
        </w:rPr>
        <w:t xml:space="preserve">Ситуация на рынке труда </w:t>
      </w:r>
    </w:p>
    <w:p w14:paraId="5F43EFBA" w14:textId="333D0258" w:rsidR="0074511A" w:rsidRPr="008E0719" w:rsidRDefault="00954C8F" w:rsidP="001F1010">
      <w:pPr>
        <w:spacing w:line="276" w:lineRule="auto"/>
        <w:jc w:val="both"/>
        <w:divId w:val="1356543834"/>
      </w:pPr>
      <w:r w:rsidRPr="008E0719">
        <w:t>На территории Ключевского района проживает 6375 граждан трудоспособного возраста, более 50% от общей численности района. На 01 января 2024 года численность зарегистрированных безработных составляет 164 человека, в сравнении с предыдущим периодом снижение наблюдается на 50 человек. По темпу снижения численности безработных, Ключевский район, находится на 9 месте в рейтинге муниципальных образований по итогам 2023 года. За отчетный период уровень зарегистрированной безработицы снизился практически на 1% и достиг значения – 2,1% от численности трудоспособного населения. На 1 вакансию приходится более 2-х человек ищущих работу. Размер среднемесячной заработной платы одного работника по крупным и средним организациям составил 36262,8 рублей, темп роста 111,4% к уровню прошлого года. Задолженность по заработной плате в районе отсутствует. За пятилетний период среднемесячная заработная плата выросла в 1,5 раза, с 24 тыс. рублей до 36,2 тыс. рублей. Учитывая, что крупные и средние организации на территории района представлены в основном бюджетными организациями, положительная динамика уровня заработной платы обеспечена Указами Президента по оплате труда отдельных категорий работников, ежегодной индексацией минимальной оплаты труда, повышением оплаты труда муниципальных служащих. Администрация района активно проводит работу по легализации трудовых отношений и ликвидации «неформальной занятости». Так, ежегодно обследуются порядка 70 хозяйствующих субъектов, выявляются в пределах 180 неоформленных работников. За пятилетний период легализовано порядка 930 работников. Так же ежегодно в районе создаются новые рабочие места: в основном в сельском хозяйстве и торговле. В 2023 году создано и модернизировано 100 новых рабочих мест.</w:t>
      </w:r>
    </w:p>
    <w:p w14:paraId="4C50A55C" w14:textId="77777777" w:rsidR="0074511A" w:rsidRDefault="0074511A" w:rsidP="008E0719">
      <w:pPr>
        <w:spacing w:before="240" w:after="240" w:line="276" w:lineRule="auto"/>
        <w:jc w:val="center"/>
        <w:divId w:val="1611469857"/>
      </w:pPr>
      <w:r>
        <w:rPr>
          <w:rStyle w:val="a3"/>
          <w:sz w:val="28"/>
          <w:szCs w:val="28"/>
        </w:rPr>
        <w:t xml:space="preserve">Уровень жизни населения </w:t>
      </w:r>
    </w:p>
    <w:p w14:paraId="79AB0DE7" w14:textId="608B8C54" w:rsidR="0074511A" w:rsidRPr="001F1010" w:rsidRDefault="001F1010" w:rsidP="001F1010">
      <w:pPr>
        <w:spacing w:line="276" w:lineRule="auto"/>
        <w:jc w:val="both"/>
        <w:divId w:val="1611469857"/>
      </w:pPr>
      <w:r w:rsidRPr="001F1010">
        <w:t xml:space="preserve">Ситуация в экономике района не может не сказываться на уровне жизни жителей. По итогам 2023 года наблюдается рост показателей потребительского рынка по крупным и средним предприятиям. Оборот розничной торговли по крупным и средним предприятиям составил – 884,5 млн.рублей, темп роста к прошлому году 123,5%. Объем платных услуг, оказанных населению составил 54,4 млн.рублей, темп роста 113,8%.  Рост оборота общественного питания составил 16,2 %, что в абсолютном выражении составило 5,6 млн.рублей. Торговое обслуживание на территории района представлено 110 торговыми точками. Кроме того, 7 отделений почтовой связи осуществляют торговлю в селах района, в том числе и в малонаселенных пунктах. На территории района функционируют 80 объектов бытового обслуживания, оказывающих парикмахерские, ремонтные и прочие бытовые услуги. Одним из важных приоритетов работы государственной и муниципальной власти является обеспечение социальной стабильности, повышение качества и доступности социального обслуживания населения.Управлением социальной защиты населения в 2023 году выплачено различным категориям граждан 131,7 млн. рублей из краевого и федерального бюджета. </w:t>
      </w:r>
      <w:r w:rsidRPr="001F1010">
        <w:lastRenderedPageBreak/>
        <w:t>Около 5 млн. рублей детских выплат получили 529 человек, на 1040 детей. Выплаты краевым льготникам составили 20,5 млн. рублей. Субсидиями на ЖКУ воспользовались 537 семей на сумму 11,0 млн. рублей. Меры социальной поддержки на коммунальные услуги направлены 3400 получателям на сумму 39,8 млн. рублей. это педагоги, ветераны труда, труженики тыла. Адресная помощь из краевого бюджета 45 гражданам составила 113,5 тыс. рублей, из местного бюджета 662 тыс. рублей. С прошлого года часть федеральных и краевых выплат, особенно семьям с детьми, проходит через социальный Фонд Российской Федерации (бывший Пенсионный Фонд). Администрация района постоянно взаимодействует с территориальным управлением социальной защиты и центром социального обслуживания семьи и детей, особенно по вопросам детства и неблагополучия, семей, находящихся в социально-опасном положении. За прошлый год центр социального обслуживания семьи и детей оказал более 13 тыс. различных услуг населению района.</w:t>
      </w:r>
    </w:p>
    <w:p w14:paraId="3241552C" w14:textId="77777777" w:rsidR="0074511A" w:rsidRDefault="0074511A" w:rsidP="008E0719">
      <w:pPr>
        <w:spacing w:before="240" w:after="240" w:line="276" w:lineRule="auto"/>
        <w:jc w:val="center"/>
        <w:divId w:val="1437944105"/>
      </w:pPr>
      <w:r>
        <w:rPr>
          <w:rStyle w:val="a3"/>
          <w:sz w:val="28"/>
          <w:szCs w:val="28"/>
        </w:rPr>
        <w:t xml:space="preserve">Состояние местных бюджетов </w:t>
      </w:r>
    </w:p>
    <w:p w14:paraId="7070F5ED" w14:textId="24257C2B" w:rsidR="0074511A" w:rsidRPr="008E0719" w:rsidRDefault="00954C8F" w:rsidP="001F1010">
      <w:pPr>
        <w:spacing w:line="276" w:lineRule="auto"/>
        <w:jc w:val="both"/>
        <w:divId w:val="1437944105"/>
      </w:pPr>
      <w:r w:rsidRPr="008E0719">
        <w:t xml:space="preserve">В консолидированный бюджет района в 2023 году поступило доходов в сумме 628,1 млн.рублей. Фактический рост доходов в сравнении с 2022 годом составляет 15,8% или на 85,8 млн.рублей. Удельный вес собственных доходов составил 26,4% или 165,7 млн.рублей. В общей структуре собственных доходов налоговые доходы составили 77,5%, в денежном выражении 128,4 млн. рублей. Темп роста к 2022 году составил 109%. Безвозмездные поступления из краевого бюджета в 2023 году составили 464,8 млн. рублей, удельный вес – 74%. Темп роста к 2022 году составил 118,3%. Неналоговые доходы поступили в сумме 37,2 млн. рублей, что составляет 22,5% в структуре собственных доходов. Темп роста к прошлому году составил 165,4%. Увеличение собственных доходов сложилось по следующим доходным источникам:- налогу на доходы физических лиц в сумме 13,4 млн. рублей, темп роста составил 119,7%. Положительная динамика обусловлена ростом фонда оплаты труда. НДФЛ является основным источником собственных доходов консолидированного бюджета района и в структуре составляет 49,2%;-  по единому сельскохозяйственному налогу наблюдается увеличение дохода на 3,1 млн. рублей, с темпом роста к прошлому году 121,2%;- по земельному налогу увеличение составило 1,4 млн.рублей, темп роста к 2022 году составляет 118%.- стоимость акцизов увеличилось на 576 тыс. рублей, темп роста составил 109,7%;Наряду с увеличением налоговых доходов, по итогам года наблюдается и снижение по доходам по упрощенной системе налогооблажения на 4,5 млн.рублей. Снижение объясняется закрытием двух крупных предпринимателей, в связи с переездом на другое место жительство.  По расходным обязательствам консолидированный бюджет района остается социально направленным. На финансирование отраслей социальной сферы все так же направлено практически 68% от общих расходов, в абсолютном выражении это 423,6 млн. рублей. В структуре расходов консолидированного бюджета района, расходы на «Образование» составляют 56,6%, в денежном выражении 355,9 млн. рублей. На культуру и спорт направлено 49,5 млн.рублей, что составляет в структуре расходов всего лишь 7,9%. На социальное обеспечение населения и охрану семьи и детства направлено 17,8 млн.рублей, из них расходы, связанные с опекой и попечительством 10,9 млн.рублей. Основной статьей расходов районного бюджета является выплата заработной платы с начислениями. За </w:t>
      </w:r>
      <w:r w:rsidRPr="008E0719">
        <w:lastRenderedPageBreak/>
        <w:t>2023 год на эти цели направлены 52,2% всех расходов или 328 млн.рублей, что на 12% выше уровня 2022 года. Все это стало возможным проведенной трижды индексации заработной платы, согласно Указов Президента РФ и распоряжений Губернатора Алтайского края. Так:- с 1 января 2023 года увеличение МРОТ на 6,3% (20302,5 рублей) и на 18% муниципальным служащим;- с 1 октября 2023 года увеличение окладов на 5,5% работникам не являющихся муниципальными служащими;- с 1 октября 2023 года увеличение на 5,5% всем работникам муниципальных учреждений всех типов (казенных, бюджетных, автономных).         На капитальные вложения направлено 115,1 млн. рублей, что составляет 18,3% в структуре расходов, из них на приобретение основных средств 21,9 млн. рублей и 93,2 млн. рублей текущие, капитальные ремонты зданий и сооружений, реализация проектов местных инициатив и т.д.  На ремонт и содержание дорог направлено 13,0 млн. рублей, в том числе за счет собственных средств дополнительно 4,9 млн. рублей.На расчеты за уголь, коммунальные услуги 60,4 млн. рублей, что составляет 9,6% в структуре расходов. Межбюджетные трансферты, переданные поселениям, составили 29 млн. рублей, из них 12 млн.рублей на осуществление переданных полномочий. Несмотря на меры, принимаемые администрацией района по оптимизации расходов бюджета района и увеличения доходной части бюджета, просроченная кредиторская задолженность консолидированного бюджета района на 1 января 2024 года составила 29,4 млн. рублей. Это связяно с переходом с 1 января 2023 года на единый налоговый платеж и новую программу учета налоговых платежей, в 1 полугодии 2023 года налоговой службой были сторнированы собственные доходы районного бюджета в сумме 21,8 млн.рублей, и мы возврат этих средств так и не получили. Задолженность сформировалась по оплате за коммунальные услуги в сумме 10,9 млн.рублей, по содержанию имущества 5,1 млн.рублей. Задолженность сформировалась по двум контрактам. Кредиторская задолженность по расходам сформировалась еще и по причине отвлечения средств районного бюджета на внеплановые расходы по решениям судов на приведение антитеррористической защищённости объектов образования, спорта и культуры. За 2023 год таких работ выполнено на 7 млн.рублей. Проведена работа по оптимизации штатной численности работников муниципальных учреждений, что позволило сократить численность на 20 штатных единиц, сэкономить 5,6 млн.рублей фонда оплаты труда и направить их на погашение кредиторской задолженности.</w:t>
      </w:r>
    </w:p>
    <w:p w14:paraId="38976BD3" w14:textId="77777777" w:rsidR="0074511A" w:rsidRDefault="0074511A" w:rsidP="008E0719">
      <w:pPr>
        <w:spacing w:before="240" w:after="240" w:line="276" w:lineRule="auto"/>
        <w:jc w:val="center"/>
        <w:divId w:val="1904366202"/>
      </w:pPr>
      <w:r>
        <w:rPr>
          <w:rStyle w:val="a3"/>
          <w:sz w:val="28"/>
          <w:szCs w:val="28"/>
        </w:rPr>
        <w:t xml:space="preserve">Жилищно-коммунальное хозяйство </w:t>
      </w:r>
    </w:p>
    <w:p w14:paraId="22274C61" w14:textId="7E4CE4F0" w:rsidR="0074511A" w:rsidRPr="001F1010" w:rsidRDefault="001F1010" w:rsidP="001F1010">
      <w:pPr>
        <w:spacing w:line="276" w:lineRule="auto"/>
        <w:jc w:val="both"/>
        <w:divId w:val="1904366202"/>
        <w:rPr>
          <w:lang w:val="en-US"/>
        </w:rPr>
      </w:pPr>
      <w:r>
        <w:rPr>
          <w:lang w:val="en-US"/>
        </w:rPr>
        <w:t xml:space="preserve">Жилищно-коммунальная тема остается одной из самых острых в деятельности ОМСУ, и она остается показателем эффективной работы местной власти. Отопительный период 2023-2024 годов на территории Ключевского района официально начат 01 октября 2023 года. Теплоснабжение Ключевского района осуществляет одно теплоснабжающее предприятие МУП «Теплый Ключ», обслуживающее 8 основных котельных, и 7 малых котельных школ и детских садов. Проведена плановая проверка Алтайским отделом по надзору за тепловыми электростанциями, теплогенерирующими установками и сетями и котлонадзору. На основании акта проверки готовности к отопительному периоду от 01 ноября 2023 года муниципальному образованию Ключевский район выдан паспорт готовности к отопительному периоду. Согласно утвержденного районного плана мероприятий по проведению подготовки к отопительному сезону, в целом по </w:t>
      </w:r>
      <w:r>
        <w:rPr>
          <w:lang w:val="en-US"/>
        </w:rPr>
        <w:lastRenderedPageBreak/>
        <w:t xml:space="preserve">Ключевскому району выполнены следующие подготовительные работы:в бюджетной сфере района:-  произведен монтаж и введен в эксплуатацию электроводогрейный котел в Марковском доме культуры (70 тыс. рублей); -  приобретены твердотопливные водогрейные котлы в Зеленополянскую, Васильчуковскую школы и Новополтавский сельсовет (1,485 млн. рублей + 133,5 тыс. рублей);-  восстановлена крыша на котельной Васильчуковской школы (20 тыс. рублей);-  приобретены сетевые циркуляционные насосы в Васильчуковскую и Истимисскую школы (164 тыс. рублей);-  отремонтирована дымовая труба, установлен, котел, дымосос и заменены ворота в гараже пожарного автомобиля в Зеленополянской школе (99,9 тыс. рублей);-  восстановлена крыша на здании котельной и дымовая труба в Новополтавской школе после урагана (359 тыс. рублей + 144 тыс. рублей);-  подготовлены документы и проходят итоговые согласования на 2024-2025 гг. по капитальному ремонту котельной №7 в п. Целинный и участков теплотрасс (1220 метров) от нее (43,2 млн. рублей), а также по капитальному ремонту двух водозаборных скважин в п. Целинный и с. Северка (8,604 млн. рублей) (разработка ПСД и экспертиза стоила району 189 тыс. рублей).теплоснабжающим предприятием района выполнено:-  капитальный ремонт котельной №1 и участков тепловых сетей протяженностью 560 метров, общей стоимостью 34,0 млн. рублей;-  заменен водогрейный котел в котельной ЦРБ (500 тыс. рублей);-  ремонты котлов, их чистка и промывка;-  ремонты транспортеров золоудаления;-  ремонты сетевых насосов;-  ремонты электрооборудования;-  ремонты участков теплотрассы по улицам Октябрьская, Кирова, Щорса, Дытченко, Центральная, пер. Аптечный, улица Новая в п. Целинный, ул. Гагарина в с. Северка;-  ремонт тепловых колодцев;-  частично заменены дымососы (по теплоснабжению предприятием затрачено 3,5377 млн. рублей);-  ремонт водопровода (порывы, ремонт центробежных насосов) (1,7 млн. рублей).Всего подготовительных работ по району выполнено на 41,9 млн. рублей, в т.ч. на подготовку бюджетных учреждений 2,7 млн. рублей. Общая плановая потребность твердого топлива Ключевского района на отопительный сезон  составляет 13,5 тыс.тонн. Потребность твердого топлива для объектов бюджетной сферы (отапливающихся самостоятельно) составляет 1470 тонн. Объектами бюджета, пользующимися услугой централизованного теплоснабжения, потребляется в год 7 652 Гкал. При стоимости угля 4 054,63 рубля за тонну и тарифе 3 786,47 рублей за Гкал, в денежном выражении на эти цели необходимо 34,9 млн.рублей. В 2023 году, очередной раз, Правительством Алтайского края району предоставлена поддержка в виде целевой субсидии на расчеты за поставленный уголь для работы школьных котельных и оплату услуг теплоснабжения бюджетных учреждений в общей сумме 18,359 млн. рублей, т.е. всего лишь половина из требуемой суммы. С 01.06.2022 года в районе утверждено «Положение о порядке и условиях предоставления дополнительных мер поддержки в целях соблюдения предельного индекса платы граждан за коммунальные услуги на территории Ключевского района Алтайского края». Согласно Положения всем жителям, приобретающим услуги по ценам выше предельно установленных, выплачивается компенсации. На тот период под данную категорию попала только стоимость каменного угля и дров как твердого топлива для отопления жилых домов. А с 1 декабря отчетного периода на территории Ключевского района увеличен тариф, на тепловую энергию который составляет 3786,47 рублей за Гкал. Прирост составил 1008,59 рублей или с ростом на 36,3%. Превышение предельных (максимальных) индексов изменения размера вносимой гражданами платы за коммунальные услуги, установленных Указом </w:t>
      </w:r>
      <w:r>
        <w:rPr>
          <w:lang w:val="en-US"/>
        </w:rPr>
        <w:lastRenderedPageBreak/>
        <w:t>Губернатора Алтайского края, подлежит компенсации, предоставляемой вне зависимости от уровня доходов, всем гражданам без исключения пользующимся коммунальными услугами.Эта мера поддержки носит заявительный характер. За 2023 год принято заявок от жителей Ключевского района на получение компенсации:- за приобретенный уголь – 932 человека, выплачено 427,2 тыс.рублей;- за приобретенную дровяную древесину – 425 человек, выплачено 108,1 тыс.рублей;- за полученную услугу централизованного теплоснабжения – 507 человек (из 780 абонентов), выплачено 2687,3 тыс.рублей.Данная компенсация выплачивается из средств краевой целевой субсидии предоставленной району в сумме 3,2 млн. рублей которая является очередной поддержкой Правительства нашего края, Минстроя в первую очередь о жителях и отрасли ЖКХ. За последние три года была получена новая техника, которая принесла неоценимую помощь муниципальным предприятиям и жителям района. Это коммунальная машина на базе трактора МТЗ-82 (с отвалом, щеткой и шнекоротором), экскаватор, грейдер и ассенизаторская машина. Администрация Ключевского района делает все возможное для обеспечения жителей района услугами маршрутного транспорта по 6 маршрутам.  На протяжении прошлого года в районе построен 1 жилой дом, подверглось реконструкции 14. Общая площадь ввода в эксплуатацию жилья составила - 1306 м2, или 130,6% к плану 1000 м2. В течение прошлого года выдано 22 разрешения на строительство, из них 15 на строительство и реконструкцию жилых домов, 7 на строительство объектов сельскохозяйственного назначения (зерносклады, ангары и т.д.). Введены в эксплуатацию порядка 6 объектов различных назначений.Протяженность автомобильных дорог общего пользования местного значения в районе составляет 366,6 км, из них: с асфальтобетонным покрытием 71,4 км, пескощебеночным 55,7 км, грунтовых 239,5 км. На них расположено 8 пешеходных переходов, 3 из которых вблизи образовательных учреждений, и 14 остановок для маршрутного транспорта. Муниципальный дорожный фонд в 2023 году составлял 6 511,1 тыс. рублей это акцизы на топливо.      В 2023 году Ключевский район очередной раз получил субсидию из краевого бюджета 2,4 млн. рублей на ремонт улично-дорожной сети. За счет выделенных средств проведен ремонт дороги по ул. Центральная в с. Ключи. Доля софинансирования местного бюджета составила 65,5 тыс. рублей.Размер краевой субсидии на 2024 год составляет 2,9 млн. рублей. Согласно проведенному опросу жителей, депутатов и анализа состояния УДС, было принято решение продолжить восстановление дорожного полотна по улице Центральная районного центра.</w:t>
      </w:r>
    </w:p>
    <w:p w14:paraId="58A9E30E" w14:textId="77777777" w:rsidR="0074511A" w:rsidRDefault="0074511A" w:rsidP="008E0719">
      <w:pPr>
        <w:spacing w:before="240" w:after="240" w:line="276" w:lineRule="auto"/>
        <w:jc w:val="center"/>
        <w:divId w:val="1972859180"/>
      </w:pPr>
      <w:r>
        <w:rPr>
          <w:rStyle w:val="a3"/>
          <w:sz w:val="28"/>
          <w:szCs w:val="28"/>
        </w:rPr>
        <w:t xml:space="preserve">Социальная сфера </w:t>
      </w:r>
    </w:p>
    <w:p w14:paraId="0DACE479" w14:textId="592C1628" w:rsidR="0074511A" w:rsidRPr="001F1010" w:rsidRDefault="001F1010" w:rsidP="001F1010">
      <w:pPr>
        <w:spacing w:line="276" w:lineRule="auto"/>
        <w:jc w:val="both"/>
        <w:divId w:val="1972859180"/>
        <w:rPr>
          <w:lang w:val="en-US"/>
        </w:rPr>
      </w:pPr>
      <w:r>
        <w:rPr>
          <w:lang w:val="en-US"/>
        </w:rPr>
        <w:t xml:space="preserve">ОБРАЗОВАНИЕ В системе образования района в рамках выполнения Указов Президента Российской Федерации происходят постоянные нововведения и изменения. С 1 сентября прошлого года 1679 школьников муниципалитета осваивают образовательные программы по обновленным федеральным образовательным стандартам, нацеленным на конкретное содержание и вариативность. Единый государственный экзамен по 10 предметам в прошлом году сдали 46 выпускников, из них 10 стали золотыми медалистами. Выше краевого тестового бала выпускники школ показали по 6 предметам. Это русский язык, математика (профиль), химия, физика, биология, английский язык. Хуже обстоят дела со сдачей ГИА у 9-классников. Так, из </w:t>
      </w:r>
      <w:r>
        <w:rPr>
          <w:lang w:val="en-US"/>
        </w:rPr>
        <w:lastRenderedPageBreak/>
        <w:t xml:space="preserve">193 школьников государственный экзамен не сдали с первого раза 27 учащихся (13%). В рамках федерального проекта «Современная школа» в Новополтавской СОШ  в 2023 году  открыт Центр образования «Точка роста».  Получено современное оборудование на 1,5 млн. рублей. В 2024 году «Точка роста» будет открыта в Петуховской школе. Школа капитально отремонтирована, закуплено оборудование для создания современной образовательной среды. Создано новое образовательное пространство – центр детских инициатив. Общая сумма реализации проекта составила 22,5 млн.рублей.  К началу учебного года завершены монтаж и установка оборудования в школах района по проекту «Формирование современной IT-инфраструктуры». Общая стоимость реализации проекта составила 21 млн. рублей. Второй год в школах успешно реализуется масштабный проект Минпросвещения России– цикл внеурочных занятий «Разговоры о важном». Центральными темами этих классных часов стали патриотизм и гражданское воспитание, историческое просвещение, нравственность, экология. С 1 сентября текущего учебного года в школах введено обязательное трудовое воспитание, реализуется программа профориентационного минимума для учащихся 6-11 классов. В рамках курса «Внеурочной деятельности» еженедельно для школьников проводятся профориентационные уроки. Школы райцентра реализуют программы развития социальной активности учащихся начальной школы «Орлята России». В этом учебном году во всех базовых школах открыты школьные театры и спортивные клубы, созданы первичные отделения «Движения Первых». В 2024 году край получит субсидию из федерального бюджета на создание новых мест в образовательных организациях для реализации дополнительных общеразвивающих программ всех направленностей в рамках федерального проекта «Успех каждого ребенка» национального проекта «Образование». На указанные средства в нашем районе будут созданы (оснащены оборудованием) 75 мест для дополнительного образования детей в следующих школах:  МБОУ «Ключевская СОШ №1» - школьный театр (45 мест), МБОУ «Новополтавская СОШ им. Н.В.Курченко» - школьный туристический клуб (15 мест), МБОУ «Петуховская СОШ им. С.А.Чиганова» - школьный спортивный клуб (15 мест). В общеобразовательных учреждениях проходит целый ряд мероприятий, направленных на поддержку и увековечивание памяти военнослужащих, принимающих участие в специальной военной операции, в том числе проявивших героизм и погибших. В школьных музеях, кабинетах создаются разделы, выставки, посвященные участникам СВО. В МБОУ «Северская СОШ» реализован патриотический проект «Парта героя», посвященный памяти участника СВО Калянову Ивану. Уже в текущем году на базе МБОУ «Ключевская СОШ№2» будет создана «Парта Героя», посвященная памяти Генералова Станислава. Школы района принимают активное участие и в мероприятиях, в поддержку участников СВО. Важнейшее направление образования - это дошкольное. В районе в 8 учреждениях дошкольного образования укомплектовано 18 групп, в которых 334 ребенка. Количество групп ежегодно сокращается, сейчас в детских садах 492 свободных места. Администрация района курирует выполнение государственных полномочий по опеке и попечительству 58 детей-сирот и детей, оставшихся без попечения родителей. Постоянная работа ведется и через исполнение государственных задач по организации районной комиссии по делам несовершеннолетних и защите их прав. В отчетный период проведено 13 заседаний комиссии, рассмотрено 130 материалов об административных правонарушениях, в то числе, 7 в отношении детей и 123 материала в отношении родителей. Органам профилактики направлено 196 поручений. </w:t>
      </w:r>
      <w:r>
        <w:rPr>
          <w:lang w:val="en-US"/>
        </w:rPr>
        <w:lastRenderedPageBreak/>
        <w:t xml:space="preserve">Индивидуальная работа велась в отношении 112 несовершеннолетних, 58 – семей. За прошлый период несовершеннолетними совершено 8 преступлений, против 15 - в 2022 году. На постоянном контроле органов местного самоуправления находятся: 9 школьных маршрутов; организация питания школьников (с охватом 96%). На эти цели район получил 8,9 млн.рублей на питание детей 1-4 классов и детей-инвалидов из федеральных средств; организация летнего отдыха детей и подростков (охват 99,7%); аттестация педагогических и руководящих кадров; Всероссийская олимпиада школьников и Всероссийские проверочные работы; ремонт и подготовка к новому учебному году; антитеррористическая защищенность объектов образования.МОЛОДЕЖНАЯ ПОЛИТИКА  Администрация района продолжает работать над реализацией муниципальной программы «Развитие молодежной политики». В течение года учреждения образования, культуры и спорта продолжили работу по развитию волонтерства, участвовали во всероссийских акциях «Своих не бросаем». В период 2023 года Молодежный Парламент восьмого созыва организовал и принял участие в 65 мероприятиях районного и всероссийского уровня, из них 28 мероприятий прошли в онлайн формате. В рамках выполнения муниципальной программы молодежной политики в районе проведены: Месячник военно-патриотического воспитания; Месячник молодого избирателя;  Весенняя и Антинаркотическая акция «Миссия жить»; Весенняя неделя добра; Месячник патриотической направленности ко Дню победы (цикл мероприятий); Всероссийская патриотическая акция - «Бессмертный полк» (в новых форматах); «Вахта памяти»; «Георгиевская ленточка»; Двухмесячный марафон Семьи, Месячник здорового образа жизни; Районная молодежная акция «Поделись добром» в Месячник пожилого человека.Сумма средств, направленная на проведение мероприятий в сфере молодёжной политики в 2023 году, составляет 113 тысяч рублей. Молодежь района участвует в праздновании всех государственных праздников. В районе ведется постоянная антинаркотическая деятельность, приобщение молодежи к здоровому образу жизни, профилактика идеологии экстремизма и терроризма, работа по гармонизации межнациональных отношений. Молодежная политика в районе должна оставаться приоритетом большой социальной работы.КУЛЬТУРА В 2023 году деятельность Администрации района совместно с комитетом по культуре была направлена на дальнейшее творческое развитие отрасли и укрепление материально-технической базы подведомственных учреждений: «Детской школы искусств»; «Многофункционального культурного центра», в структуру которого входит 11 учреждений клубного типа, 13- библиотек, 1-музей. Библиотеки района традиционно выполнили целевые показатели по охвату библиотечным обслуживанием населения района, в том числе и детей. За год оформлено 238 книжных выставок, проведено 802 мероприятия, которые посетили около 30 тысяч человек. На базе районной модельной библиотеке функционировал удаленный электронный читальный зал Национальной электронной библиотеки (НЭБ). Осуществляется доступ к информационным ресурсам Президентской библиотеки. Общий объём библиотечного фонда составляет более 106 тысяч экземпляров. Новые поступления составили около 1800 экз., на сумму 425,5 тыс.  руб.  (из федерального бюджета и краевого бюджета). Средства районного бюджета: на книжные издания и подписку на периодические издания составили 82 тыс. рублей. За отчетный период проведено около 1600 культурно массовых мероприятий, посетителей – 154,5 тыс. человек. В течение года проводились мероприятия, приуроченные к Году педагога и наставника, реализовывался план по возрождению, </w:t>
      </w:r>
      <w:r>
        <w:rPr>
          <w:lang w:val="en-US"/>
        </w:rPr>
        <w:lastRenderedPageBreak/>
        <w:t xml:space="preserve">сохранению и развитию традиционной народной культуры и проект «Культура для школьников». Все учреждения культуры принимали участие в марафоне культурных событий в Алтайском крае. На базе многофункционального культурного центра было проведено 14 районных фестивалей и праздников. Творческие коллективы учреждений культуры являются участниками всех значимых мероприятий в районе, а также принимают участие в конкурсах и фестивалях разного уровня, становясь призерами, дипломантами, лауреатами различных степеней. Так в 2023 году коллектив «Васильчанка» очередной раз подтвердил звание «Народный самодеятельный коллектив Алтайского края». За прошедший период кинозалом «Премьера» показано 359 сеансов, которые посетили более 2,8 тыс. зрителей, валовый сбор средств составил 407 тыс. рублей, для примера в прошлом году эта сумма составляла 200 тыс. рублей. По Пушкинской карте куплено всего 243 билета, в прошлом году более 70. За отчетный период фонды Ключевского районного краеведческого музея пополнились на 426 предметов за счет дарения гражданами. Всего на текущую дату в музее насчитывается более 13 тыс. единиц хранения. Сотрудниками организовано 14 выставок на основе фондовых коллекций, проведено 417 экскурсий. Музей посетили более 8,5 тыс. человек. Число посетителей массовых мероприятий составило 1700 человек. Продолжена работа по Госкаталогу Российской Федерации. В базу данных внесено 1,5 тыс. единиц хранения.         На начало учебного года в детской школе искусств обучалось - 285 детей. Охват молодежи дополнительным образованием составляет 17,4%. В школе работают 6 коллективов. Их мы постоянно видим на нашей сцене. В 2023 году коллектив «Белое Злато» подтвердил звание «Народный самодеятельный коллектив Алтайского края». Наряду с традиционными формами обучения, промежуточной и итоговой аттестацией, учащиеся принимают активное участие в концертной, выставочной деятельности школы, а также в конкурсах и фестивалях от школьного до международных уровней. Победителем Губернаторского конкурса профессионального мастерства на звание «Лучший работник культуры года» в номинации «Лучший педагог» стала Петрушкина Екатерина Викторовна - руководитель фольклорного ансамбля «Цветень». В 2023 году Детская школа искусств прошла независимую оценку качества условий оказания услуг, показав высокий результат: 99,7%. Школа вошла в рейтинг 100 лучших образовательных организаций Алтайского края, заняв 10 место. За прошлый год финансовая поддержка отрасли культуры на укрепление, ремонт и антитеррористическую защищенность составила 6,5 млн. рублей, из них-1,4 млн.рублей ДШИ, 5,1 млн. рублей – учреждения культуры, из них 3,8 млн. рублей профинансировано за капитальный ремонт кровли Васильчуковского сельского Дома культуры. В 2023 году за счет краевого гранта установлено световое оборудование в здании РДК на сумму более 450 тыс. рублей. По краевой программе ремонта объектов культурного наследия 2,7 млн. рублей краевых средств и 300 тыс. рублей местного бюджета направлены на обновление памятников воинам, погибшим в годы войны в селах Каип и Покровка. В с.Северка по гранту местных инициатив «Алтайпредлагай» произведен ремонт мемориала войнам погибшим в годы ВОВ. Общие затраты реализации проекта составили порядка 2 млн. рублей, из них 1,3 млн. рублей – краевая субсидия. До празднования 80-летия Победы нам необходимо произвести капитальный ремонт памятника погибшим воинам в селе Новополтава. В 2024 году работа по всем направлениям культуры пройдет под знаком объявленного Президентом России Года семьи в России в целях популяризации государственной политики в сфере защиты семьи </w:t>
      </w:r>
      <w:r>
        <w:rPr>
          <w:lang w:val="en-US"/>
        </w:rPr>
        <w:lastRenderedPageBreak/>
        <w:t xml:space="preserve">и сохранения традиционных семейных ценностей и 100-летия со дня образования нашего района.  СПОРТ В 2023 году проведена 36 зимняя Олимпиада сельских спортсменов Алтая. Участвовали 42 района края и провели этот спортивный форум. По итогам Олимпиады район занял в общекомандном зачете заняла I место среди муниципальных образований с численностью до 20 тысяч населения. В финансовой поддержке подготовки Олимпиады участвовал не только краевой и районный бюджет, но и 36 меценатов. Почти 3 года подготовки к Олимпиаде помогли нам существенно улучшить материально-техническую базу спорта: стадион «Юность» - 36 млн. рублей, в том числе 32 млн. рублей краевые субсидии; хоккейная коробка; лыжная база и лыжные трассы; фасад и пристройка ДЮСШ. При поддержке Губернатора Алтайского края В.П. Томенко район получил финансовые средства в размере 12,7 млн. рублей (при софинансировании 672 тыс. рублей – из местного бюджета) на ремонт здания спортивного зала спортивной школы. После Олимпиады район получил от Министерства спорта снегоход для обслуживания лыжной трассы. На развитие физической культуры и спорта было направлено 30,3 млн. рублей (в т.ч. 13,3 на капитальный ремонт спортивного зала, 27 млн. рублей из районного бюджета направлено на содержание отдела по ФК и спорту и спортивной школы «Юность». Из них, более 1,5 млн. рублей на организацию соревнований и выезды спортивных команд на зональные и краевые соревнования, в том числе, и затрат на участие в Чемпионате Алтайского края в I лиги. В течении 2023 года в районе проведено 58 спортивно-массовых мероприятий. В мероприятиях приняли участие более 2120 человек. Продолжается внедрение комплекса ГТО через МБУ ДО «Ключевская СШ «Юность», функционирует центр тестирования по выполнению видов испытаний комплекса ГТО. К сдаче нормативов комплекса привлекаются учащиеся всех ступеней, педагоги и все желающие жители района. В 2023 году состоялось три Фестиваля, в том числе, среди педагогических работников образования, которые стали традиционными. В сфере физической культуры и спорта в районе с учетом специалистов образовательных организаций работает 29 специалистов. Из них 24 с высшим образованием, 7 со средним специальным. В отчетный период на территории района проводились краевые соревнования, такие как: зональные отборочные соревнования краевой зимней Олимпиады сельских спортсменов по спортивным семьям, лыжным гонкам и полиатлону. В дни школьных каникул проводились массовые подвижные игры, соревнования «Веселые старты», а также в летний период повсеместно на детских площадках проводятся спортивные развлечения. В зимний период работали: хоккейный корт в МБУ ДО «Ключевская СШ «Юность»; четыре хоккейных коробки в селах района, лыжная база «Лесная» с. Ключи; лыжная база «Моховое» с. Ключи, лыжная база «Чемпион» ИП Бурмистров В.В. В районе культивируется 9 видов спорта: волейбол, борьба самбо, хоккей с шайбой, футбол, баскетбол, лыжные гонки, полиатлон, шахматы, гиревой спорт. В течение года идет подготовка команд к краевым Олимпиадам. Так, в летней Олимпиаде сельских спортсменов Алтайского края в с. Родино Ключевская сборная по футболу в третий раз подряд вышла в финал, одержав второй раз подряд победу на Олимпиаде. Администрация района, отдел по физической культуре и спорту, спортивная общественность работает над повышением интереса населения к занятиям физической культурой и спортом, внедрением здорового образа жизни населения и развитием массового спорта. В 2023 году МБУ ДО «Ключевская СШ «Юность» открыла спортивные отделения по баскетболу и гиревому спорту. В спортивной школе </w:t>
      </w:r>
      <w:r>
        <w:rPr>
          <w:lang w:val="en-US"/>
        </w:rPr>
        <w:lastRenderedPageBreak/>
        <w:t xml:space="preserve">Ключевского района культивируется 6 видов спорта: баскетбол, борьба самбо, футбол, лыжные гонки, шахматы, гиревой спорт с общим числом обучающихся 288 человек.  Постоянную спортивную работу с молодежью ведут –Ключевский лицей профессионального образования, образовательные учреждения района. Ведется работа с инвалидами, их в районе более 900 человек, из них детей до 17 лет – 65 человек, поэтому отдел по физической культуре и спорту тесно взаимодействует с Ключевским районным обществом инвалидов. Работают группы здоровья. В декабре проведена спартакиада «Шаг из круга» для людей с ОВЗ, приуроченная к Декаде  инвалидов. Деятельность Администрации района, органов местного самоуправления, отдела по физической культуре и спорту должна быть направлена на реализацию стратегии развития физической культуры и спорта путем эффективного взаимодействия всех ветвей власти, общественных организаций, работодателей всех форм собственности.СОЦИАЛЬНАЯ ЗАЩИТА Одним из важных приоритетов работы государственной и муниципальной власти является обеспечение социальной стабильности, повышение качества и доступности социального обслуживания населения. Управлением социальной защиты населения в 2023 году выплачено различным категориям граждан 131,7 млн. рублей из краевого и федерального бюджета. Около 5 млн. рублей детских выплат получили 529 человек, на 1040 детей. Выплаты краевым льготникам составили 20,5 млн. рублей. Субсидиями на ЖКУ воспользовались 537 семей на сумму 11,0 млн. рублей. Меры социальной поддержки на коммунальные услуги направлены 3400 получателям на сумму 39,8 млн. рублей. это педагоги, ветераны труда, труженики тыла. Адресная помощь из краевого бюджета 45 гражданам составила 113,5 тыс. рублей, из местного бюджета 662 тыс. рублей. Администрация района постоянно взаимодействует с территориальным управлением социальной защиты и центром социального обслуживания семьи и детей, особенно по вопросам детства и неблагополучия, семей, находящихся в социально-опасном положении. За прошлый год центр социального обслуживания семьи и детей оказал более 13 тыс. различных услуг населению района. Наши совместные усилия улучшают общую картину по социальной защите различных категорий граждан, в том числе и семей участников СВО.   ДЕМОГРАФИЯ В районе отмечается отрицательная динамика показателей естественного и миграционного прироста населения. Основными демографическими проблемами в районе является  сокращение численности населения, обусловленное естественной убылью за счет превышения уровня  смертности над рождаемостью и миграция населения. Численность населения района составляет 12366 человек, ежегодное снижение численности составляет от 1,5 – 2%. Смертность превышает рождаемость в 3 раза. Тенденция уменьшения численности населения связана в том числе с фактическим миграционным оттоком молодежи в города и трудовой миграцией работоспособного населения в более высокооплачиваемые регионы. Но в тоже время миграционный отток населения уменьшился на 32% или на 27 человек.      ЗДРАВООХРАНЕНИЕ Одна из основ социально-экономического развития района - совершенствование здравоохранения, укрепление здоровья населения, создание условий для здорового образа жизни. Здравоохранение района представлено Ключевской ЦРБ им.Антоновича И.И., в состав которой входят: Районная поликлиника на 250 посещений в смену; Детская поликлиника; Женская консультация; Вспомогательные лабораторно - диагностические подразделения; Стоматологическое отделение; Дневной стационар на 22 койки (гинекологические -2; терапевтические - 7; педиатрические - 2; хирургические </w:t>
      </w:r>
      <w:r>
        <w:rPr>
          <w:lang w:val="en-US"/>
        </w:rPr>
        <w:lastRenderedPageBreak/>
        <w:t>- 6; терапевтические в Новополтавской врачебной амбулатории - 5); Круглосуточный стационар включая межрайонное паллиативное отделение на 79 коек (терапевтические -22; инфекционные – 10; гинекологические- 3; хирургические – 15; педиатрические – 8; для беременных и рожениц – 1; паллиативные – 20); Отделение скорой медицинской помощи, в составе которого круглосуточно работают 2 бригады; Приемное отделение стационара; 2 врачебные амбулатории; 11 ФАПов. В районной поликлинике и ФАПах на амбулаторном приеме побывали порядка 108 тысяч пациентов, из них с профилактической целью 38990 посещений. В отчетном году увеличилась численность пациентов, проходящих ежегодную диспансеризацию, в 2022 году – 2260 человек, в 2023 году – 4898 человек, что на 116,7 % больше, чем в 2022 году, около 1700 человек прошли периодические и предварительные медицинские осмотры. За год одним врачом в среднем принято в поликлинике 4,3 тыс.  больных. В среднем каждый из жителей района 6,5 раза за год побывал на приеме у врача.На сегодняшний день в ЦРБ трудятся 23 врача, 104 специалиста среднего медицинского персонала, 27 человек младшего медицинского персонала. В отчетном году трудоустроилось: 2 врача, 3 средних медицинских работника. Администрацией Ключевского района совместно с ЦРБ проводится большая работа по привлечению новых специалистов. В настоящее время 5 студентов обучаются по целевому набору в Алтайском медицинском университете, 2 студента в ординатуре (врач-реаниматолог и врач невролог).За последние несколько лет администрацией больницы, ее управленческой командой, успешно реализован стратегический план вывода учреждения из-за затяжного, запущенного кризиса. Так в 2023 году учреждением погашена многолетняя просроченная кредиторская задолженность, не дающая больнице не только существовать, а развиваться. В отчетном году ЦРБ продолжила улучшать свою материально-техническую базу, что позволило улучшить и качество оказываемых услуг. Так в 2023 году: Завершены работы по ограждению структурных подразделений ЦРБ и ФАПов по программе антитеррористической защищенности на сумму 1,3млн. рублей; Частично отремонтирована кровля хирургического отделения ЦРБ на сумму 1 миллион рублей; За счет средств краевого бюджета приобретен мобильный ФАП для работы в населенных пунктах численностью ниже 100 человек; За счет средств краевого бюджета приобретено два автомобиля Нива (один из них для оказания неотложной помощи на территории района; второй – для Зеленополянского ФАПа (для оказания помощи жителям близлежащих сел, проживающих на территории Зеленополянского сельсовета); За счет собственных средств приобретен автоматический биохимический анализатор, стоимостью 1,5 миллиона рублей для лаборатории, что позволит в ближайшем будущем расширить круг анализов, проводимых ЦРБ своим пациентом на бесплатной основе; обновлена мебель в палатах терапевтического отделения.</w:t>
      </w:r>
    </w:p>
    <w:p w14:paraId="3CC5AB28" w14:textId="77777777" w:rsidR="0074511A" w:rsidRDefault="0074511A">
      <w:pPr>
        <w:spacing w:after="240" w:line="276" w:lineRule="auto"/>
        <w:divId w:val="1537622445"/>
      </w:pPr>
      <w:r>
        <w:br/>
      </w:r>
      <w:r>
        <w:br/>
      </w: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758"/>
        <w:gridCol w:w="1260"/>
        <w:gridCol w:w="3661"/>
      </w:tblGrid>
      <w:tr w:rsidR="0074511A" w14:paraId="2AB2A4E2" w14:textId="77777777" w:rsidTr="008E0719">
        <w:trPr>
          <w:divId w:val="1191646061"/>
          <w:tblCellSpacing w:w="15" w:type="dxa"/>
          <w:jc w:val="right"/>
        </w:trPr>
        <w:tc>
          <w:tcPr>
            <w:tcW w:w="0" w:type="auto"/>
            <w:vAlign w:val="center"/>
            <w:hideMark/>
          </w:tcPr>
          <w:p w14:paraId="0643F607" w14:textId="4AC21747" w:rsidR="0074511A" w:rsidRPr="001F1010" w:rsidRDefault="001F1010" w:rsidP="008E0719">
            <w:pPr>
              <w:spacing w:line="276" w:lineRule="auto"/>
              <w:jc w:val="right"/>
              <w:rPr>
                <w:sz w:val="28"/>
                <w:szCs w:val="28"/>
                <w:lang w:val="en-US"/>
              </w:rPr>
            </w:pPr>
            <w:r>
              <w:rPr>
                <w:sz w:val="28"/>
                <w:szCs w:val="28"/>
                <w:lang w:val="en-US"/>
              </w:rPr>
              <w:t>Глава</w:t>
            </w:r>
          </w:p>
        </w:tc>
        <w:tc>
          <w:tcPr>
            <w:tcW w:w="0" w:type="auto"/>
            <w:vAlign w:val="bottom"/>
            <w:hideMark/>
          </w:tcPr>
          <w:p w14:paraId="78420B82" w14:textId="77777777" w:rsidR="0074511A" w:rsidRDefault="0074511A">
            <w:r>
              <w:t>__________</w:t>
            </w:r>
          </w:p>
        </w:tc>
        <w:tc>
          <w:tcPr>
            <w:tcW w:w="0" w:type="auto"/>
            <w:vAlign w:val="bottom"/>
            <w:hideMark/>
          </w:tcPr>
          <w:p w14:paraId="18C0776F" w14:textId="46AC9841" w:rsidR="0074511A" w:rsidRPr="001F1010" w:rsidRDefault="001F1010">
            <w:pPr>
              <w:spacing w:line="276" w:lineRule="auto"/>
              <w:rPr>
                <w:sz w:val="28"/>
                <w:szCs w:val="28"/>
                <w:lang w:val="en-US"/>
              </w:rPr>
            </w:pPr>
            <w:r>
              <w:rPr>
                <w:sz w:val="28"/>
                <w:szCs w:val="28"/>
                <w:lang w:val="en-US"/>
              </w:rPr>
              <w:t>Леснов Денис Александрович</w:t>
            </w:r>
          </w:p>
        </w:tc>
      </w:tr>
      <w:tr w:rsidR="0074511A" w14:paraId="7CE077F3" w14:textId="77777777" w:rsidTr="008E0719">
        <w:trPr>
          <w:divId w:val="1191646061"/>
          <w:tblCellSpacing w:w="15" w:type="dxa"/>
          <w:jc w:val="right"/>
        </w:trPr>
        <w:tc>
          <w:tcPr>
            <w:tcW w:w="0" w:type="auto"/>
            <w:vAlign w:val="center"/>
            <w:hideMark/>
          </w:tcPr>
          <w:p w14:paraId="226C377D" w14:textId="77777777" w:rsidR="0074511A" w:rsidRDefault="0074511A">
            <w:r>
              <w:t> </w:t>
            </w:r>
          </w:p>
        </w:tc>
        <w:tc>
          <w:tcPr>
            <w:tcW w:w="0" w:type="auto"/>
            <w:hideMark/>
          </w:tcPr>
          <w:p w14:paraId="2C997188" w14:textId="77777777" w:rsidR="0074511A" w:rsidRDefault="0074511A">
            <w:r>
              <w:t>(подпись)</w:t>
            </w:r>
          </w:p>
        </w:tc>
        <w:tc>
          <w:tcPr>
            <w:tcW w:w="0" w:type="auto"/>
            <w:vAlign w:val="center"/>
            <w:hideMark/>
          </w:tcPr>
          <w:p w14:paraId="15A52DF3" w14:textId="77777777" w:rsidR="0074511A" w:rsidRDefault="0074511A">
            <w:r>
              <w:t> </w:t>
            </w:r>
          </w:p>
        </w:tc>
      </w:tr>
    </w:tbl>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595"/>
        <w:gridCol w:w="81"/>
      </w:tblGrid>
      <w:tr w:rsidR="0074511A" w14:paraId="4534185B" w14:textId="77777777">
        <w:trPr>
          <w:divId w:val="1537622445"/>
          <w:tblCellSpacing w:w="15" w:type="dxa"/>
        </w:trPr>
        <w:tc>
          <w:tcPr>
            <w:tcW w:w="5550" w:type="dxa"/>
            <w:vAlign w:val="center"/>
            <w:hideMark/>
          </w:tcPr>
          <w:p w14:paraId="4A6699B7" w14:textId="77777777" w:rsidR="0074511A" w:rsidRDefault="0074511A">
            <w:r>
              <w:t> </w:t>
            </w:r>
          </w:p>
        </w:tc>
        <w:tc>
          <w:tcPr>
            <w:tcW w:w="0" w:type="auto"/>
            <w:vAlign w:val="center"/>
            <w:hideMark/>
          </w:tcPr>
          <w:p w14:paraId="5D23E5CF" w14:textId="77777777" w:rsidR="0074511A" w:rsidRDefault="0074511A"/>
        </w:tc>
      </w:tr>
    </w:tbl>
    <w:p w14:paraId="7A9732F2" w14:textId="77777777" w:rsidR="0074511A" w:rsidRDefault="0074511A">
      <w:pPr>
        <w:divId w:val="1537622445"/>
      </w:pPr>
    </w:p>
    <w:sectPr w:rsidR="0074511A" w:rsidSect="00D47142">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DFF117" w14:textId="77777777" w:rsidR="00965B79" w:rsidRDefault="00965B79" w:rsidP="00D47142">
      <w:r>
        <w:separator/>
      </w:r>
    </w:p>
  </w:endnote>
  <w:endnote w:type="continuationSeparator" w:id="0">
    <w:p w14:paraId="5B4B98E1" w14:textId="77777777" w:rsidR="00965B79" w:rsidRDefault="00965B79" w:rsidP="00D47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8DE3B" w14:textId="77777777" w:rsidR="00D47142" w:rsidRDefault="00D4714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34340" w14:textId="77777777" w:rsidR="00D47142" w:rsidRDefault="00D47142" w:rsidP="00D47142">
    <w:pPr>
      <w:pStyle w:val="a6"/>
      <w:jc w:val="right"/>
    </w:pPr>
    <w:r>
      <w:fldChar w:fldCharType="begin"/>
    </w:r>
    <w:r>
      <w:instrText xml:space="preserve"> PAGE  \* MERGEFORMAT </w:instrText>
    </w:r>
    <w:r>
      <w:fldChar w:fldCharType="separate"/>
    </w:r>
    <w:r w:rsidR="00BC3B71">
      <w:rPr>
        <w:noProof/>
      </w:rPr>
      <w:t>14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E02DA" w14:textId="77777777" w:rsidR="00D47142" w:rsidRDefault="00D4714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68CA04" w14:textId="77777777" w:rsidR="00965B79" w:rsidRDefault="00965B79" w:rsidP="00D47142">
      <w:r>
        <w:separator/>
      </w:r>
    </w:p>
  </w:footnote>
  <w:footnote w:type="continuationSeparator" w:id="0">
    <w:p w14:paraId="7231210F" w14:textId="77777777" w:rsidR="00965B79" w:rsidRDefault="00965B79" w:rsidP="00D471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01AD6" w14:textId="77777777" w:rsidR="00D47142" w:rsidRDefault="00D4714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B4815" w14:textId="77777777" w:rsidR="00D47142" w:rsidRDefault="00D4714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63AB7" w14:textId="77777777" w:rsidR="00D47142" w:rsidRDefault="00D4714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142"/>
    <w:rsid w:val="000D3D3D"/>
    <w:rsid w:val="0015389F"/>
    <w:rsid w:val="001F1010"/>
    <w:rsid w:val="00467A05"/>
    <w:rsid w:val="005A1D93"/>
    <w:rsid w:val="00705BA6"/>
    <w:rsid w:val="0074511A"/>
    <w:rsid w:val="008E0719"/>
    <w:rsid w:val="00954C8F"/>
    <w:rsid w:val="00965B79"/>
    <w:rsid w:val="00BC3B71"/>
    <w:rsid w:val="00C97D56"/>
    <w:rsid w:val="00D471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C7D70E"/>
  <w15:chartTrackingRefBased/>
  <w15:docId w15:val="{CCFF18FB-2FD0-4234-9917-B6419077B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веб)1"/>
    <w:basedOn w:val="a"/>
    <w:uiPriority w:val="99"/>
    <w:unhideWhenUsed/>
    <w:pPr>
      <w:spacing w:before="100" w:beforeAutospacing="1" w:after="100" w:afterAutospacing="1"/>
    </w:pPr>
  </w:style>
  <w:style w:type="character" w:styleId="a3">
    <w:name w:val="Strong"/>
    <w:basedOn w:val="a0"/>
    <w:uiPriority w:val="22"/>
    <w:qFormat/>
    <w:rPr>
      <w:b/>
      <w:bCs/>
    </w:rPr>
  </w:style>
  <w:style w:type="paragraph" w:styleId="a4">
    <w:name w:val="header"/>
    <w:basedOn w:val="a"/>
    <w:link w:val="a5"/>
    <w:uiPriority w:val="99"/>
    <w:semiHidden/>
    <w:unhideWhenUsed/>
    <w:rsid w:val="00D47142"/>
    <w:pPr>
      <w:tabs>
        <w:tab w:val="center" w:pos="4677"/>
        <w:tab w:val="right" w:pos="9355"/>
      </w:tabs>
    </w:pPr>
  </w:style>
  <w:style w:type="character" w:customStyle="1" w:styleId="a5">
    <w:name w:val="Верхний колонтитул Знак"/>
    <w:basedOn w:val="a0"/>
    <w:link w:val="a4"/>
    <w:uiPriority w:val="99"/>
    <w:semiHidden/>
    <w:rsid w:val="00D47142"/>
    <w:rPr>
      <w:rFonts w:eastAsia="Times New Roman"/>
      <w:sz w:val="24"/>
      <w:szCs w:val="24"/>
    </w:rPr>
  </w:style>
  <w:style w:type="paragraph" w:styleId="a6">
    <w:name w:val="footer"/>
    <w:basedOn w:val="a"/>
    <w:link w:val="a7"/>
    <w:uiPriority w:val="99"/>
    <w:semiHidden/>
    <w:unhideWhenUsed/>
    <w:rsid w:val="00D47142"/>
    <w:pPr>
      <w:tabs>
        <w:tab w:val="center" w:pos="4677"/>
        <w:tab w:val="right" w:pos="9355"/>
      </w:tabs>
    </w:pPr>
  </w:style>
  <w:style w:type="character" w:customStyle="1" w:styleId="a7">
    <w:name w:val="Нижний колонтитул Знак"/>
    <w:basedOn w:val="a0"/>
    <w:link w:val="a6"/>
    <w:uiPriority w:val="99"/>
    <w:semiHidden/>
    <w:rsid w:val="00D47142"/>
    <w:rPr>
      <w:rFonts w:eastAsia="Times New Roman"/>
      <w:sz w:val="24"/>
      <w:szCs w:val="24"/>
    </w:rPr>
  </w:style>
  <w:style w:type="paragraph" w:styleId="a8">
    <w:name w:val="Balloon Text"/>
    <w:basedOn w:val="a"/>
    <w:link w:val="a9"/>
    <w:uiPriority w:val="99"/>
    <w:semiHidden/>
    <w:unhideWhenUsed/>
    <w:rsid w:val="00BC3B71"/>
    <w:rPr>
      <w:rFonts w:ascii="Segoe UI" w:hAnsi="Segoe UI" w:cs="Segoe UI"/>
      <w:sz w:val="18"/>
      <w:szCs w:val="18"/>
    </w:rPr>
  </w:style>
  <w:style w:type="character" w:customStyle="1" w:styleId="a9">
    <w:name w:val="Текст выноски Знак"/>
    <w:basedOn w:val="a0"/>
    <w:link w:val="a8"/>
    <w:uiPriority w:val="99"/>
    <w:semiHidden/>
    <w:rsid w:val="00BC3B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7622445">
      <w:marLeft w:val="0"/>
      <w:marRight w:val="0"/>
      <w:marTop w:val="0"/>
      <w:marBottom w:val="0"/>
      <w:divBdr>
        <w:top w:val="none" w:sz="0" w:space="0" w:color="auto"/>
        <w:left w:val="none" w:sz="0" w:space="0" w:color="auto"/>
        <w:bottom w:val="none" w:sz="0" w:space="0" w:color="auto"/>
        <w:right w:val="none" w:sz="0" w:space="0" w:color="auto"/>
      </w:divBdr>
      <w:divsChild>
        <w:div w:id="223301121">
          <w:marLeft w:val="300"/>
          <w:marRight w:val="0"/>
          <w:marTop w:val="0"/>
          <w:marBottom w:val="0"/>
          <w:divBdr>
            <w:top w:val="none" w:sz="0" w:space="0" w:color="auto"/>
            <w:left w:val="none" w:sz="0" w:space="0" w:color="auto"/>
            <w:bottom w:val="none" w:sz="0" w:space="0" w:color="auto"/>
            <w:right w:val="none" w:sz="0" w:space="0" w:color="auto"/>
          </w:divBdr>
        </w:div>
        <w:div w:id="1450320109">
          <w:marLeft w:val="300"/>
          <w:marRight w:val="0"/>
          <w:marTop w:val="0"/>
          <w:marBottom w:val="0"/>
          <w:divBdr>
            <w:top w:val="none" w:sz="0" w:space="0" w:color="auto"/>
            <w:left w:val="none" w:sz="0" w:space="0" w:color="auto"/>
            <w:bottom w:val="none" w:sz="0" w:space="0" w:color="auto"/>
            <w:right w:val="none" w:sz="0" w:space="0" w:color="auto"/>
          </w:divBdr>
        </w:div>
        <w:div w:id="1006633197">
          <w:marLeft w:val="300"/>
          <w:marRight w:val="0"/>
          <w:marTop w:val="0"/>
          <w:marBottom w:val="0"/>
          <w:divBdr>
            <w:top w:val="none" w:sz="0" w:space="0" w:color="auto"/>
            <w:left w:val="none" w:sz="0" w:space="0" w:color="auto"/>
            <w:bottom w:val="none" w:sz="0" w:space="0" w:color="auto"/>
            <w:right w:val="none" w:sz="0" w:space="0" w:color="auto"/>
          </w:divBdr>
        </w:div>
        <w:div w:id="672149918">
          <w:marLeft w:val="300"/>
          <w:marRight w:val="0"/>
          <w:marTop w:val="0"/>
          <w:marBottom w:val="0"/>
          <w:divBdr>
            <w:top w:val="none" w:sz="0" w:space="0" w:color="auto"/>
            <w:left w:val="none" w:sz="0" w:space="0" w:color="auto"/>
            <w:bottom w:val="none" w:sz="0" w:space="0" w:color="auto"/>
            <w:right w:val="none" w:sz="0" w:space="0" w:color="auto"/>
          </w:divBdr>
        </w:div>
        <w:div w:id="1356543834">
          <w:marLeft w:val="300"/>
          <w:marRight w:val="0"/>
          <w:marTop w:val="0"/>
          <w:marBottom w:val="0"/>
          <w:divBdr>
            <w:top w:val="none" w:sz="0" w:space="0" w:color="auto"/>
            <w:left w:val="none" w:sz="0" w:space="0" w:color="auto"/>
            <w:bottom w:val="none" w:sz="0" w:space="0" w:color="auto"/>
            <w:right w:val="none" w:sz="0" w:space="0" w:color="auto"/>
          </w:divBdr>
        </w:div>
        <w:div w:id="1611469857">
          <w:marLeft w:val="300"/>
          <w:marRight w:val="0"/>
          <w:marTop w:val="0"/>
          <w:marBottom w:val="0"/>
          <w:divBdr>
            <w:top w:val="none" w:sz="0" w:space="0" w:color="auto"/>
            <w:left w:val="none" w:sz="0" w:space="0" w:color="auto"/>
            <w:bottom w:val="none" w:sz="0" w:space="0" w:color="auto"/>
            <w:right w:val="none" w:sz="0" w:space="0" w:color="auto"/>
          </w:divBdr>
        </w:div>
        <w:div w:id="1437944105">
          <w:marLeft w:val="300"/>
          <w:marRight w:val="0"/>
          <w:marTop w:val="0"/>
          <w:marBottom w:val="0"/>
          <w:divBdr>
            <w:top w:val="none" w:sz="0" w:space="0" w:color="auto"/>
            <w:left w:val="none" w:sz="0" w:space="0" w:color="auto"/>
            <w:bottom w:val="none" w:sz="0" w:space="0" w:color="auto"/>
            <w:right w:val="none" w:sz="0" w:space="0" w:color="auto"/>
          </w:divBdr>
        </w:div>
        <w:div w:id="1904366202">
          <w:marLeft w:val="300"/>
          <w:marRight w:val="0"/>
          <w:marTop w:val="0"/>
          <w:marBottom w:val="0"/>
          <w:divBdr>
            <w:top w:val="none" w:sz="0" w:space="0" w:color="auto"/>
            <w:left w:val="none" w:sz="0" w:space="0" w:color="auto"/>
            <w:bottom w:val="none" w:sz="0" w:space="0" w:color="auto"/>
            <w:right w:val="none" w:sz="0" w:space="0" w:color="auto"/>
          </w:divBdr>
        </w:div>
        <w:div w:id="1972859180">
          <w:marLeft w:val="300"/>
          <w:marRight w:val="0"/>
          <w:marTop w:val="0"/>
          <w:marBottom w:val="0"/>
          <w:divBdr>
            <w:top w:val="none" w:sz="0" w:space="0" w:color="auto"/>
            <w:left w:val="none" w:sz="0" w:space="0" w:color="auto"/>
            <w:bottom w:val="none" w:sz="0" w:space="0" w:color="auto"/>
            <w:right w:val="none" w:sz="0" w:space="0" w:color="auto"/>
          </w:divBdr>
        </w:div>
        <w:div w:id="1191646061">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6999</Words>
  <Characters>39898</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GUEI</Company>
  <LinksUpToDate>false</LinksUpToDate>
  <CharactersWithSpaces>46804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webadmin</dc:creator>
  <cp:keywords/>
  <dc:description/>
  <cp:lastModifiedBy>Econom_user1</cp:lastModifiedBy>
  <cp:revision>2</cp:revision>
  <cp:lastPrinted>2024-04-23T02:39:00Z</cp:lastPrinted>
  <dcterms:created xsi:type="dcterms:W3CDTF">2024-04-23T02:39:00Z</dcterms:created>
  <dcterms:modified xsi:type="dcterms:W3CDTF">2024-04-23T02:39:00Z</dcterms:modified>
</cp:coreProperties>
</file>