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90586" w:rsidRDefault="00D67EA4" w:rsidP="00D67EA4">
      <w:pPr>
        <w:jc w:val="center"/>
      </w:pPr>
      <w:bookmarkStart w:id="0" w:name="_GoBack"/>
      <w:r>
        <w:rPr>
          <w:noProof/>
          <w:sz w:val="28"/>
          <w:szCs w:val="28"/>
        </w:rPr>
        <w:drawing>
          <wp:inline distT="0" distB="0" distL="0" distR="0" wp14:anchorId="17045097" wp14:editId="1B947C89">
            <wp:extent cx="4333875" cy="1938276"/>
            <wp:effectExtent l="0" t="0" r="0" b="0"/>
            <wp:docPr id="1" name="Рисунок 1" descr="C:\Users\Business\Desktop\логотип Мой бизне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usiness\Desktop\логотип Мой бизнес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6080" cy="1943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D67EA4" w:rsidRPr="00D67EA4" w:rsidRDefault="00D67EA4" w:rsidP="00D67EA4">
      <w:pPr>
        <w:shd w:val="clear" w:color="auto" w:fill="FFFFFF"/>
        <w:spacing w:before="300" w:after="150" w:line="240" w:lineRule="auto"/>
        <w:jc w:val="center"/>
        <w:outlineLvl w:val="0"/>
        <w:rPr>
          <w:rFonts w:ascii="Circe" w:eastAsia="Times New Roman" w:hAnsi="Circe" w:cs="Times New Roman"/>
          <w:b/>
          <w:bCs/>
          <w:color w:val="2C2A29"/>
          <w:kern w:val="36"/>
          <w:sz w:val="63"/>
          <w:szCs w:val="63"/>
          <w:lang w:eastAsia="ru-RU"/>
        </w:rPr>
      </w:pPr>
      <w:r w:rsidRPr="00D67EA4">
        <w:rPr>
          <w:rFonts w:ascii="Circe" w:eastAsia="Times New Roman" w:hAnsi="Circe" w:cs="Times New Roman"/>
          <w:b/>
          <w:bCs/>
          <w:color w:val="2C2A29"/>
          <w:kern w:val="36"/>
          <w:sz w:val="63"/>
          <w:szCs w:val="63"/>
          <w:lang w:eastAsia="ru-RU"/>
        </w:rPr>
        <w:t>Получение кредита по программе поручительства "Стандарт"</w:t>
      </w:r>
    </w:p>
    <w:p w:rsidR="00D67EA4" w:rsidRPr="00D67EA4" w:rsidRDefault="00D67EA4" w:rsidP="00D67EA4">
      <w:pPr>
        <w:shd w:val="clear" w:color="auto" w:fill="FFFFFF"/>
        <w:spacing w:after="0" w:line="240" w:lineRule="auto"/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</w:pPr>
      <w:r w:rsidRPr="00D67EA4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t>Поручительство для иных видов деятельности по основному коду ОКВЭД</w:t>
      </w:r>
      <w:r w:rsidRPr="00D67EA4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br/>
      </w:r>
      <w:r w:rsidRPr="00D67EA4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br/>
        <w:t>1. Назначение Поручительства</w:t>
      </w:r>
      <w:r w:rsidRPr="00D67EA4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br/>
        <w:t>Обеспечение исполнения части обязательств Заемщиков по:</w:t>
      </w:r>
      <w:r w:rsidRPr="00D67EA4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br/>
        <w:t>-заключаемым Договорам с Финансовыми организациями;</w:t>
      </w:r>
      <w:r w:rsidRPr="00D67EA4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br/>
        <w:t>-по ранее заключенным Договорам с Финансовыми организациями, при этом средства в рамках договора могут быть предоставлены Заемщику частично.</w:t>
      </w:r>
      <w:r w:rsidRPr="00D67EA4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br/>
      </w:r>
      <w:r w:rsidRPr="00D67EA4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br/>
        <w:t>2. Направление деятельности</w:t>
      </w:r>
      <w:r w:rsidRPr="00D67EA4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br/>
        <w:t>Иные виды деятельности Заемщиков, не включенные в программу «Приоритет».</w:t>
      </w:r>
      <w:r w:rsidRPr="00D67EA4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br/>
      </w:r>
      <w:r w:rsidRPr="00D67EA4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br/>
        <w:t>3. Целевое использование</w:t>
      </w:r>
      <w:r w:rsidRPr="00D67EA4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br/>
        <w:t xml:space="preserve">-Инвестиции в основной капитал: приобретение, ремонт, модернизация основных средств; создание материально-технической базы нового предприятия; внедрение новых технологий; развитие научно-технической, инновационной  и </w:t>
      </w:r>
      <w:proofErr w:type="spellStart"/>
      <w:r w:rsidRPr="00D67EA4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t>энергоэффективной</w:t>
      </w:r>
      <w:proofErr w:type="spellEnd"/>
      <w:r w:rsidRPr="00D67EA4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t xml:space="preserve"> деятельности; развитие экспортных операций и </w:t>
      </w:r>
      <w:proofErr w:type="spellStart"/>
      <w:r w:rsidRPr="00D67EA4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t>импортозамещения</w:t>
      </w:r>
      <w:proofErr w:type="spellEnd"/>
      <w:r w:rsidRPr="00D67EA4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t>;</w:t>
      </w:r>
      <w:r w:rsidRPr="00D67EA4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br/>
        <w:t>-рефинансирование и реструктуризация обязательств Заемщика, целевым назначением которых были инвестиции в основной капитал (при условии улучшения параметров финансирования в части  снижения % ставки, увеличения срока, изменения графика погашения и т.д.);</w:t>
      </w:r>
      <w:r w:rsidRPr="00D67EA4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br/>
        <w:t>-цели, связанные с финансированием текущей деятельности Заемщика:-пополнение оборотных средств; приобретение товарно-материальных ценностей, включая пополнение складских запасов; приобретение сырья, материалов, полуфабрикатов, товаров, горюче смазочных материалов; оплата услуг и работ; финансирование затрат на проведение сезонно-полевых работ; прочее финансирование некапитальных (операционных) затрат Заемщика;</w:t>
      </w:r>
      <w:r w:rsidRPr="00D67EA4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br/>
        <w:t>-рефинансирование и реструктуризация кредитов, цели которых не относятся к инвестиционным;</w:t>
      </w:r>
      <w:r w:rsidRPr="00D67EA4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br/>
      </w:r>
      <w:r w:rsidRPr="00D67EA4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lastRenderedPageBreak/>
        <w:t>-иные цели, отвечающие требованиям кредитных программ МСП-Банка.</w:t>
      </w:r>
      <w:r w:rsidRPr="00D67EA4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br/>
      </w:r>
      <w:r w:rsidRPr="00D67EA4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br/>
        <w:t>4. Форма финансирования</w:t>
      </w:r>
      <w:r w:rsidRPr="00D67EA4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br/>
        <w:t>-кредит;</w:t>
      </w:r>
      <w:r w:rsidRPr="00D67EA4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br/>
        <w:t>-кредитная линия (</w:t>
      </w:r>
      <w:proofErr w:type="spellStart"/>
      <w:r w:rsidRPr="00D67EA4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t>невозобновляемая</w:t>
      </w:r>
      <w:proofErr w:type="spellEnd"/>
      <w:r w:rsidRPr="00D67EA4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t xml:space="preserve"> кредитная линия, возобновляемая кредитная линия);</w:t>
      </w:r>
      <w:r w:rsidRPr="00D67EA4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br/>
        <w:t>-овердрафт;</w:t>
      </w:r>
      <w:r w:rsidRPr="00D67EA4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br/>
        <w:t>-</w:t>
      </w:r>
      <w:proofErr w:type="spellStart"/>
      <w:r w:rsidRPr="00D67EA4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t>займ</w:t>
      </w:r>
      <w:proofErr w:type="spellEnd"/>
      <w:r w:rsidRPr="00D67EA4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t>.</w:t>
      </w:r>
      <w:r w:rsidRPr="00D67EA4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br/>
      </w:r>
      <w:r w:rsidRPr="00D67EA4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br/>
        <w:t>5. Обеспечение по Договору с Финансовой организацией</w:t>
      </w:r>
      <w:r w:rsidRPr="00D67EA4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br/>
        <w:t>-не менее 30 (Тридцати)% от суммы обязательств Заемщика (без учета залога товарно-материальных ценностей и товаров в обороте), в соответствии с условиями продуктов Финансовых организаций. Допускается залог прав на интеллектуальную собственность в объеме до 20% от суммы обязательства Заемщика;</w:t>
      </w:r>
      <w:r w:rsidRPr="00D67EA4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br/>
        <w:t>-в случае реструктуризации действующих обязательств Заемщика -имущественное обеспечение не менее 30 (Тридцати)% от суммы обязательств Заемщика, за исключением товарно-материальных ценностей и товаров в обороте.</w:t>
      </w:r>
      <w:r w:rsidRPr="00D67EA4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br/>
      </w:r>
      <w:r w:rsidRPr="00D67EA4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br/>
        <w:t>6. Валюта договора</w:t>
      </w:r>
      <w:r w:rsidRPr="00D67EA4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br/>
        <w:t>Рубль РФ.</w:t>
      </w:r>
      <w:r w:rsidRPr="00D67EA4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br/>
      </w:r>
      <w:r w:rsidRPr="00D67EA4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br/>
        <w:t>7. Срок действия Поручительства</w:t>
      </w:r>
      <w:r w:rsidRPr="00D67EA4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br/>
        <w:t>-Инвестиционные цели -до 10 (Десяти) лет;</w:t>
      </w:r>
      <w:r w:rsidRPr="00D67EA4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br/>
        <w:t>-Оборотные цели – до 3 (Трех) лет.</w:t>
      </w:r>
      <w:r w:rsidRPr="00D67EA4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br/>
        <w:t>Определяется исходя из запрошенного срока предоставления Поручительства, но не более 120 календарных  дней  считая от даты указанной в договоре, заключенном между Заемщиком и Финансовой организацией, как окончательная дата исполнения Заемщиком своих обязательств.</w:t>
      </w:r>
      <w:r w:rsidRPr="00D67EA4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br/>
      </w:r>
      <w:r w:rsidRPr="00D67EA4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br/>
        <w:t>8. Дата начала действия Поручительства</w:t>
      </w:r>
      <w:r w:rsidRPr="00D67EA4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br/>
        <w:t>С даты заключения Договора поручительства,  либо даты, указанной в Договоре поручительства как начало действия Договора поручительства, при условии оплаты вознаграждения Центру.</w:t>
      </w:r>
      <w:r w:rsidRPr="00D67EA4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br/>
      </w:r>
      <w:r w:rsidRPr="00D67EA4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br/>
        <w:t>9. Лимит суммы Поручительства</w:t>
      </w:r>
      <w:r w:rsidRPr="00D67EA4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br/>
        <w:t>Максимальный размер Поручительства: 50 000 000 (Пятьдесят миллионов) рублей, но не более  50 (Пятидесяти) % от суммы обязательства по Договору с Финансовой организацией.</w:t>
      </w:r>
      <w:r w:rsidRPr="00D67EA4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br/>
      </w:r>
      <w:r w:rsidRPr="00D67EA4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br/>
        <w:t>10. Вознаграждение за Поручительство</w:t>
      </w:r>
      <w:r w:rsidRPr="00D67EA4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br/>
        <w:t>0,25% или 0,5 % годовых от суммы Поручительства за фактический срок пользования (в днях) в зависимости от кода ОКВЭД</w:t>
      </w:r>
      <w:r w:rsidRPr="00D67EA4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br/>
      </w:r>
      <w:r w:rsidRPr="00D67EA4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br/>
        <w:t>11. Порядок уплаты вознаграждения</w:t>
      </w:r>
      <w:r w:rsidRPr="00D67EA4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br/>
        <w:t>-Инвестиционные цели – в соответствии с индивидуальным графиком (по согласованию с Центром -ежегодно/ единовременно);</w:t>
      </w:r>
      <w:r w:rsidRPr="00D67EA4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br/>
        <w:t xml:space="preserve">-Оборотные цели – единовременно, в срок не позднее 3 (Трех) рабочих дней с момента заключения Договора поручительства путем перечисления денежных </w:t>
      </w:r>
      <w:r w:rsidRPr="00D67EA4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lastRenderedPageBreak/>
        <w:t>средств на расчетный счет Центра.</w:t>
      </w:r>
      <w:r w:rsidRPr="00D67EA4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br/>
      </w:r>
      <w:r w:rsidRPr="00D67EA4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br/>
        <w:t>12. Требования к Заемщику</w:t>
      </w:r>
      <w:r w:rsidRPr="00D67EA4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br/>
        <w:t>Требования к Заемщику для предоставления Поручительства, установлены разделом 2 настоящего Регламента.</w:t>
      </w:r>
      <w:r w:rsidRPr="00D67EA4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br/>
      </w:r>
      <w:r w:rsidRPr="00D67EA4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br/>
        <w:t>13. Требования к Финансовой организации</w:t>
      </w:r>
      <w:r w:rsidRPr="00D67EA4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br/>
        <w:t>Действующее Соглашение о сотрудничестве с Центром.</w:t>
      </w:r>
      <w:r w:rsidRPr="00D67EA4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br/>
      </w:r>
      <w:r w:rsidRPr="00D67EA4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br/>
        <w:t>14. Дополнительные требования (рекомендации)</w:t>
      </w:r>
      <w:r w:rsidRPr="00D67EA4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br/>
        <w:t>По решению Совета Центра/ Экспертного совета Центра.</w:t>
      </w:r>
    </w:p>
    <w:p w:rsidR="00D67EA4" w:rsidRDefault="00D67EA4"/>
    <w:sectPr w:rsidR="00D67E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irce">
    <w:altName w:val="Times New Roman"/>
    <w:panose1 w:val="00000000000000000000"/>
    <w:charset w:val="00"/>
    <w:family w:val="roman"/>
    <w:notTrueType/>
    <w:pitch w:val="default"/>
  </w:font>
  <w:font w:name="PT Sans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2A1B"/>
    <w:rsid w:val="00962A1B"/>
    <w:rsid w:val="00D67EA4"/>
    <w:rsid w:val="00F905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C2A7AF6-EA4A-4CB3-91BF-2E6BDC7C28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D67EA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67EA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991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4561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104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38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594</Words>
  <Characters>3392</Characters>
  <Application>Microsoft Office Word</Application>
  <DocSecurity>0</DocSecurity>
  <Lines>28</Lines>
  <Paragraphs>7</Paragraphs>
  <ScaleCrop>false</ScaleCrop>
  <Company/>
  <LinksUpToDate>false</LinksUpToDate>
  <CharactersWithSpaces>3979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EP-GMP</dc:creator>
  <cp:keywords/>
  <dc:description/>
  <cp:lastModifiedBy>EP-GMP</cp:lastModifiedBy>
  <cp:revision>2</cp:revision>
  <dcterms:created xsi:type="dcterms:W3CDTF">2024-11-29T05:24:00Z</dcterms:created>
  <dcterms:modified xsi:type="dcterms:W3CDTF">2024-11-29T05:24:00Z</dcterms:modified>
</cp:coreProperties>
</file>