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586" w:rsidRDefault="00DE52FD" w:rsidP="00DE52FD">
      <w:pPr>
        <w:jc w:val="center"/>
      </w:pPr>
      <w:r>
        <w:rPr>
          <w:noProof/>
          <w:sz w:val="28"/>
          <w:szCs w:val="28"/>
        </w:rPr>
        <w:drawing>
          <wp:inline distT="0" distB="0" distL="0" distR="0" wp14:anchorId="3D1CF0E4" wp14:editId="1A5234D2">
            <wp:extent cx="4333875" cy="1938276"/>
            <wp:effectExtent l="0" t="0" r="0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2FD" w:rsidRPr="00DE52FD" w:rsidRDefault="00DE52FD" w:rsidP="00DE52FD">
      <w:pPr>
        <w:shd w:val="clear" w:color="auto" w:fill="FFFFFF"/>
        <w:spacing w:before="300" w:after="150" w:line="240" w:lineRule="auto"/>
        <w:jc w:val="center"/>
        <w:outlineLvl w:val="0"/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</w:pPr>
      <w:bookmarkStart w:id="0" w:name="_GoBack"/>
      <w:r w:rsidRPr="00DE52FD">
        <w:rPr>
          <w:rFonts w:ascii="Circe" w:eastAsia="Times New Roman" w:hAnsi="Circe" w:cs="Times New Roman"/>
          <w:b/>
          <w:bCs/>
          <w:color w:val="2C2A29"/>
          <w:kern w:val="36"/>
          <w:sz w:val="63"/>
          <w:szCs w:val="63"/>
          <w:lang w:eastAsia="ru-RU"/>
        </w:rPr>
        <w:t>Получение кредита по программе поручительства "Партнер"</w:t>
      </w:r>
      <w:bookmarkEnd w:id="0"/>
    </w:p>
    <w:p w:rsidR="00DE52FD" w:rsidRPr="00DE52FD" w:rsidRDefault="00DE52FD" w:rsidP="00DE52FD">
      <w:pPr>
        <w:shd w:val="clear" w:color="auto" w:fill="FFFFFF"/>
        <w:spacing w:after="0" w:line="240" w:lineRule="auto"/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</w:pP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Поручительство по совместным сделкам с АО Корпорация «МСП», АО «МСП-Банк», программам льготного финансирования, реализуемым Минэкономразвития РФ и АО «Корпорация «МСП»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1. Назначение Поручительства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-Поручительство по кредитным сделкам при участии АО «Корпорация МСП», Минэкономразвития РФ в рамках льготных программ кредитования (Программы стимулирования кредитования субъектов МСП, Программы кредитования в рамках постановления Правительства РФ от 30.12.2018 №1764);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-Поручительство в рамках продукта «Прямая гарантия, выдаваемая совместно с поручительством РГО (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согарантия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)».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Обеспечение исполнения части обязательств Заемщиков по: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-заключаемым Договорам с Финансовыми организациями;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ранее заключенным Договорам с Финансовыми организациями, при этом средства в рамках договора могут быть предоставлены Заемщику частично.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2. Направление деятельности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-Виды деятельности Заемщиков, определенные Программой стимулирования кредитования субъектов МСП и постановлением Правительства РФ от 30.12.2018 №1764;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-Поручительство в рамках продукта «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Согарантия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» - все виды деятельности, в 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т.ч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. категории: молодежь, женщины-предприниматели, инвалиды, вновь зарегистрированные предприниматели старше 45 лет.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3. Целевое использование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 xml:space="preserve">-инвестиции в основной капитал: приобретение, ремонт, модернизация основных средств; создание материально-технической базы нового предприятия; внедрение новых технологий; развитие научно-технической, инновационной и 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энергоэффективной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деятельности; развитие экспортных операций и 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импортозамещения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обязательств Заемщика, целевым назначением которых были инвестиции в основной капитал (при условии улучшения параметров финансирования в части снижения % ставки, увеличения срока, изменения графика погашения и т.д.);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-цели, связанные с финансированием текущей деятельности Заемщика: пополнение оборотных средств; приобретение товарно-материальных ценностей, включая пополнение складских запасов; приобретение сырья, материалов, полуфабрикатов, товаров, горюче-смазочных материалов; оплата услуг и работ; финансирование затрат на проведение сезонно-полевых работ; прочее финансирование некапитальных (операционных) затрат Заемщика;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-рефинансирование и реструктуризация кредитов, цели которых не относятся к инвестиционным;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-иные цели, отвечающие требованиям кредитных программ.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4. Форма финансирования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-кредитная линия (</w:t>
      </w:r>
      <w:proofErr w:type="spellStart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>невозобновляемая</w:t>
      </w:r>
      <w:proofErr w:type="spellEnd"/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t xml:space="preserve"> кредитная линия, возобновляемая кредитная линия).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5. Обеспечение по Договору с Финансовой организацией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совместным с АО «Корпорация «МСП» гарантийным сделкам: доля участия Заемщика (третьих лиц (кроме АО «Корпорация МСП»)) - не менее 15 % от размера обязательства (без учета залога товарно-материальных ценностей и товаров в обороте), при этом общая доля обеспечения с участием АО «Корпорация «МСП» - не менее 30%;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-по сделкам в рамках программ льготного финансирования, реализуемым Минэкономразвития РФ и АО «Корпорация «МСП» - не менее 30 (Тридцати)% от суммы обязательств Заемщика (без учета залога товарно-материальных ценностей и товаров в обороте), в соответствии с условиями продуктов Финансовых организаций. Допускается залог прав на интеллектуальную собственность в объеме до 20% от суммы обязательства Заемщика;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-в случае реструктуризации действующих обязательств Заемщика - имущественное обеспечение не менее 30 (Тридцати)% от суммы обязательств Заемщика, за исключением товарно-материальных ценностей и товаров в обороте.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6. Валюта договора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Рубль РФ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7. Срок действия Договора поручительства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- до 10(Десяти) лет;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до 3(Трех) лет.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Определяется исходя из запрошенного срока предоставления Поручительства, но не более 120 календарных дней считая от даты указанной в договоре, заключенном между Заемщиком и Финансовой организацией, как окончательная дата исполнения Заемщиком своих обязательств.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lastRenderedPageBreak/>
        <w:t>8. Дата начала действия Поручительства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С даты заключения Договора поручительства, либо даты, указанной в Договоре поручительства как начало действия Договора поручительства, при условии оплаты вознаграждения Центру.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9. Лимит суммы Поручительства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Максимальный размер Поручительства: 50 000 000 (Пятьдесят миллионов) рублей, но не более 70 (Семидесяти) % от суммы обязательства по Договору с Финансовой организацией.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10. Вознаграждение за Поручительство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0,25% или 0,5% годовых от суммы Поручительства за фактический срок пользования (в днях) в зависимости от кода ОКВЭД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11. Порядок уплаты вознаграждения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-Инвестиционные цели – в соответствии с индивидуальным графиком (по согласованию с Центром - ежегодно/ единовременно);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-Оборотные цели – единовременно, в срок не позднее 3 (Трех) рабочих дней с момента заключения Договора поручительства путем перечисления денежных средств на расчетный счет Центра.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12. Требования к Заемщику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Требования к Заемщику для предоставления Поручительства, установлены разделом 2 настоящего Регламента.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13. Требования к Финансовой организации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Действующее Соглашение о сотрудничестве с Центром.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14. Дополнительные требования (рекомендации)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По решению Совета Центра/Экспертного совета Центра.</w:t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</w:r>
      <w:r w:rsidRPr="00DE52FD">
        <w:rPr>
          <w:rFonts w:ascii="PT Sans" w:eastAsia="Times New Roman" w:hAnsi="PT Sans" w:cs="Times New Roman"/>
          <w:color w:val="000000"/>
          <w:sz w:val="26"/>
          <w:szCs w:val="26"/>
          <w:lang w:eastAsia="ru-RU"/>
        </w:rPr>
        <w:br/>
        <w:t>*за исключением сделок в рамках программы «Кооперация», где максимальная доля гарантийной поддержки может составлять не более 75 (Семидесяти пяти)% от общей суммы обязательства, при этом максимальный размер Поручительства Центра - 25 000 000 (Двадцать пять миллионов) рублей, но не более 70 (Семидесяти)% от суммы обязательства Заемщика.</w:t>
      </w:r>
    </w:p>
    <w:p w:rsidR="00DE52FD" w:rsidRDefault="00DE52FD"/>
    <w:sectPr w:rsidR="00DE5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4C7"/>
    <w:rsid w:val="005964C7"/>
    <w:rsid w:val="00DE52FD"/>
    <w:rsid w:val="00F9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08575D-B218-4E10-9684-F42E9503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E52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2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817</Words>
  <Characters>4658</Characters>
  <Application>Microsoft Office Word</Application>
  <DocSecurity>0</DocSecurity>
  <Lines>38</Lines>
  <Paragraphs>10</Paragraphs>
  <ScaleCrop>false</ScaleCrop>
  <Company/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EP-GMP</dc:creator>
  <cp:keywords/>
  <dc:description/>
  <cp:lastModifiedBy>EP-GMP</cp:lastModifiedBy>
  <cp:revision>2</cp:revision>
  <dcterms:created xsi:type="dcterms:W3CDTF">2024-11-29T05:25:00Z</dcterms:created>
  <dcterms:modified xsi:type="dcterms:W3CDTF">2024-11-29T05:26:00Z</dcterms:modified>
</cp:coreProperties>
</file>