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586" w:rsidRDefault="00882359" w:rsidP="00882359">
      <w:pPr>
        <w:jc w:val="center"/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71FA1C30" wp14:editId="23185ACB">
            <wp:extent cx="4333875" cy="1938276"/>
            <wp:effectExtent l="0" t="0" r="0" b="0"/>
            <wp:docPr id="1" name="Рисунок 1" descr="C:\Users\Business\Desktop\логотип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iness\Desktop\логотип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82359" w:rsidRPr="00882359" w:rsidRDefault="00882359" w:rsidP="00882359">
      <w:pPr>
        <w:shd w:val="clear" w:color="auto" w:fill="FFFFFF"/>
        <w:spacing w:before="300" w:after="150" w:line="240" w:lineRule="auto"/>
        <w:jc w:val="center"/>
        <w:outlineLvl w:val="0"/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</w:pPr>
      <w:r w:rsidRPr="00882359"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  <w:t>Получение кредита по программе поручительства "Экспортер"</w:t>
      </w:r>
    </w:p>
    <w:p w:rsidR="00882359" w:rsidRPr="00882359" w:rsidRDefault="00882359" w:rsidP="00882359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</w:pP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Поручительство для экспортеров и </w:t>
      </w:r>
      <w:proofErr w:type="spellStart"/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экспортно</w:t>
      </w:r>
      <w:proofErr w:type="spellEnd"/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ориентированных Заемщиков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1. Назначение Поручительства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Обеспечение исполнения части обязательств Заемщиков по: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-заключаемым Договорам с Финансовыми организациями;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-по ранее заключенным Договорам с Финансовыми организациями, при этом средства в рамках договора могут быть предоставлены Заемщику частично.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2. Направление деятельности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Деятельность, направленная на экспорт товаров (услуг), произведенных на территории Алтайского края (при условии наличия доли выручки от экспорта товаров за пределы РФ в размере не менее 15% от объема выручки в рассматриваемый период) либо деятельность экспортно-ориентированных компаний, привлекающих заемное финансирование для целей исполнения экспортного контракта, либо при условии подтверждения Минэкономразвития Алтайского края информации о наличии записи о субъекте МСП в региональном реестре предприятий-экспортеров, по данным за 2 последних года.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3. Целевое использование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-инвестиции в основной капитал: приобретение, ремонт, модернизация основных средств; создание материально-технической базы нового предприятия; внедрение новых технологий; развитие научно-технической, инновационной и </w:t>
      </w:r>
      <w:proofErr w:type="spellStart"/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энергоэффективной</w:t>
      </w:r>
      <w:proofErr w:type="spellEnd"/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деятельности;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-рефинансирование и реструктуризация обязательств Заемщика, целевым назначением которых были инвестиции в основной капитал (при условии улучшения параметров финансирования в части снижения % ставки, увеличения срока, изменения графика погашения и т.д.).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-цели, связанные с финансированием текущей деятельности Заемщика: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-пополнение оборотных средств; приобретение товарно-материальных ценностей, 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t>включая пополнение складских запасов; приобретение сырья, материалов, полуфабрикатов, товаров, горюче смазочных материалов; оплата услуг и работ; финансирование затрат на проведение сезонно-полевых работ; прочее финансирование некапитальных (операционных) затрат Заемщика;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-рефинансирование и реструктуризация кредитов, цели которых не относятся к инвестиционным;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-иные цели, отвечающие требованиям кредитных программ МСП-Банка.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4. Форма финансирования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-кредит;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-кредитная линия (</w:t>
      </w:r>
      <w:proofErr w:type="spellStart"/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невозобновляемая</w:t>
      </w:r>
      <w:proofErr w:type="spellEnd"/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кредитная линия, возобновляемая кредитная линия);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-овердрафт;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-заем.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5. Обеспечение по Договору с Финансовой организацией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-не менее 30 (Тридцати)% от суммы обязательств Заемщика (без учета залога товарно-материальных ценностей и товаров в обороте), в соответствии с условиями продуктов Финансовых организаций. Допускается залог прав на интеллектуальную собственность в объеме до 20% от суммы обязательства Заемщика, либо залог товарно-материальных ценностей и товаров в обороте;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-в случае реструктуризации действующих обязательств Заемщика - имущественное обеспечение не менее 30 (Тридцати)% от суммы обязательств Заемщика, за исключением товарно-материальных ценностей и товаров в обороте.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6. Валюта договора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Рубль РФ.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7. Срок действия Поручительства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-Инвестиционные цели - до 10 (Десяти) лет;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-Оборотные цели – до 3 (Трех) лет.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Определяется исходя из запрошенного срока предоставления Поручительства, но не более 120 календарных дней считая от даты указанной в договоре, заключенном между Заемщиком и Финансовой организацией, как окончательная дата исполнения Заемщиком своих обязательств.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8. Дата начала действия Поручительства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С даты заключения Договора поручительства, либо даты, указанной в Договоре поручительства как начало действия Договора поручительства, при условии оплаты вознаграждения Центру.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9. Лимит суммы Поручительства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Максимальный размер Поручительства: 50 000 000 (Пятьдесят миллионов) рублей,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Инвестиционные и оборотные цели – до 70 (Семидесяти) % от суммы обязательства по Договору с Финансовой организацией.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10. Вознаграждение за Поручительство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0,25% или 0,5% годовых от суммы Поручительства за фактический срок 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t>пользования (в днях) в зависимости от кода ОКВЭД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11. Порядок уплаты вознаграждения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-Инвестиционные цели – в соответствии с индивидуальным графиком (по согласованию с Центром - ежегодно/ единовременно);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-Оборотные цели – единовременно, в срок не позднее 3 (Трех) рабочих дней с момента заключения Договора поручительства путем перечисления денежных средств на расчетный счет Центра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12. Требования к Заемщику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Требования к Заемщику для предоставления Поручительства, установлены разделом 2 настоящего Регламента.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13. Требования к Финансовой организации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Действующее Соглашение о сотрудничестве с Центром.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14. Дополнительные требования (рекомендации) </w:t>
      </w:r>
      <w:r w:rsidRPr="00882359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По решению Совета Центра/Экспертного совета Центра.</w:t>
      </w:r>
    </w:p>
    <w:p w:rsidR="00882359" w:rsidRDefault="00882359"/>
    <w:sectPr w:rsidR="00882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3E7"/>
    <w:rsid w:val="007533E7"/>
    <w:rsid w:val="00882359"/>
    <w:rsid w:val="00F9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23CFD-7817-4401-BD98-CA9FF249B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23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3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30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8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674</Words>
  <Characters>3844</Characters>
  <Application>Microsoft Office Word</Application>
  <DocSecurity>0</DocSecurity>
  <Lines>32</Lines>
  <Paragraphs>9</Paragraphs>
  <ScaleCrop>false</ScaleCrop>
  <Company/>
  <LinksUpToDate>false</LinksUpToDate>
  <CharactersWithSpaces>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EP-GMP</dc:creator>
  <cp:keywords/>
  <dc:description/>
  <cp:lastModifiedBy>EP-GMP</cp:lastModifiedBy>
  <cp:revision>2</cp:revision>
  <dcterms:created xsi:type="dcterms:W3CDTF">2024-11-29T05:23:00Z</dcterms:created>
  <dcterms:modified xsi:type="dcterms:W3CDTF">2024-11-29T05:24:00Z</dcterms:modified>
</cp:coreProperties>
</file>